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D90CFF" w:rsidRPr="00D90CFF">
        <w:rPr>
          <w:rFonts w:ascii="Arial" w:hAnsi="Arial" w:cs="Arial"/>
          <w:b/>
        </w:rPr>
        <w:t>II/602 hr. kraje – Pelhřimov, 8. a 9. stavba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7326A4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F77E11" w:rsidRPr="009A50B9" w:rsidRDefault="00F77E11" w:rsidP="00906436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906436" w:rsidRPr="00906436">
        <w:rPr>
          <w:rFonts w:ascii="Arial" w:eastAsia="MS Mincho" w:hAnsi="Arial" w:cs="Arial"/>
          <w:sz w:val="22"/>
        </w:rPr>
        <w:t>, k podpisu smlouvy pověřen Ing. Jan Hyliš – člen rady kraje pro oblast dopravy a silničního hospodářství</w:t>
      </w:r>
    </w:p>
    <w:p w:rsidR="00F77E11" w:rsidRPr="009A50B9" w:rsidRDefault="00F470CF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D238FE">
        <w:rPr>
          <w:rFonts w:ascii="Arial" w:eastAsia="MS Mincho" w:hAnsi="Arial" w:cs="Arial"/>
        </w:rPr>
        <w:t>Tomáš Pípal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:rsidR="00F77E11" w:rsidRPr="008C6DD6" w:rsidRDefault="00F77E11" w:rsidP="001D5E92">
      <w:pPr>
        <w:jc w:val="both"/>
        <w:rPr>
          <w:rFonts w:ascii="Arial" w:hAnsi="Arial" w:cs="Arial"/>
          <w:b/>
          <w:i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D238FE" w:rsidRPr="00D238FE">
        <w:rPr>
          <w:rFonts w:ascii="Arial" w:hAnsi="Arial" w:cs="Arial"/>
        </w:rPr>
        <w:t>4 200 338 928/6800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="00854FE2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C1592D">
      <w:pPr>
        <w:pStyle w:val="bntext"/>
      </w:pPr>
      <w:r w:rsidRPr="009A50B9">
        <w:t>V případě změny údajů uvedených v bodě 1.1</w:t>
      </w:r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C660CE">
      <w:pPr>
        <w:pStyle w:val="Zkladntextodsazen"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6A2BB1" w:rsidRDefault="00D96E79" w:rsidP="006A2BB1">
      <w:pPr>
        <w:pStyle w:val="Zkladntextodsazen21"/>
        <w:numPr>
          <w:ilvl w:val="1"/>
          <w:numId w:val="6"/>
        </w:numPr>
        <w:rPr>
          <w:rFonts w:ascii="Arial" w:eastAsia="MS Mincho" w:hAnsi="Arial" w:cs="Arial"/>
          <w:sz w:val="22"/>
        </w:rPr>
      </w:pPr>
      <w:r w:rsidRPr="00321F40">
        <w:rPr>
          <w:rFonts w:ascii="Arial" w:hAnsi="Arial" w:cs="Arial"/>
          <w:spacing w:val="4"/>
          <w:sz w:val="22"/>
        </w:rPr>
        <w:t>Předmětem plnění</w:t>
      </w:r>
      <w:r w:rsidR="001D1E0E" w:rsidRPr="00321F40">
        <w:rPr>
          <w:rFonts w:ascii="Arial" w:hAnsi="Arial" w:cs="Arial"/>
          <w:spacing w:val="4"/>
          <w:sz w:val="22"/>
        </w:rPr>
        <w:t xml:space="preserve"> je kompletní zhotovení stavby „</w:t>
      </w:r>
      <w:r w:rsidR="006A2BB1">
        <w:rPr>
          <w:rFonts w:ascii="Arial" w:hAnsi="Arial" w:cs="Arial"/>
          <w:b/>
          <w:spacing w:val="4"/>
          <w:sz w:val="22"/>
        </w:rPr>
        <w:t>II/602 hr. kraje – Pelhřimov, 8. a 9. stavba</w:t>
      </w:r>
      <w:r w:rsidR="00CC4FFF" w:rsidRPr="00321F40">
        <w:rPr>
          <w:rFonts w:ascii="Arial" w:hAnsi="Arial" w:cs="Arial"/>
          <w:spacing w:val="4"/>
          <w:sz w:val="22"/>
        </w:rPr>
        <w:t>“.</w:t>
      </w:r>
      <w:r w:rsidR="001D1E0E" w:rsidRPr="00321F40">
        <w:rPr>
          <w:rFonts w:ascii="Arial" w:hAnsi="Arial" w:cs="Arial"/>
          <w:spacing w:val="4"/>
          <w:sz w:val="22"/>
        </w:rPr>
        <w:t xml:space="preserve"> </w:t>
      </w:r>
      <w:r w:rsidR="00E9119C" w:rsidRPr="00321F40">
        <w:rPr>
          <w:rFonts w:ascii="Arial" w:hAnsi="Arial" w:cs="Arial"/>
          <w:spacing w:val="4"/>
          <w:sz w:val="22"/>
        </w:rPr>
        <w:t xml:space="preserve">Jedná </w:t>
      </w:r>
      <w:r w:rsidR="00321F40" w:rsidRPr="00321F40">
        <w:rPr>
          <w:rFonts w:ascii="Arial" w:hAnsi="Arial" w:cs="Arial"/>
          <w:spacing w:val="4"/>
          <w:sz w:val="22"/>
        </w:rPr>
        <w:t xml:space="preserve">se o </w:t>
      </w:r>
      <w:r w:rsidR="006A2BB1">
        <w:rPr>
          <w:rFonts w:ascii="Arial" w:eastAsia="MS Mincho" w:hAnsi="Arial" w:cs="Arial"/>
          <w:sz w:val="22"/>
        </w:rPr>
        <w:t>rekonstrukc</w:t>
      </w:r>
      <w:r w:rsidR="006A2BB1">
        <w:rPr>
          <w:rFonts w:ascii="Arial" w:eastAsia="MS Mincho" w:hAnsi="Arial" w:cs="Arial"/>
        </w:rPr>
        <w:t>i</w:t>
      </w:r>
      <w:r w:rsidR="006A2BB1" w:rsidRPr="00525717">
        <w:rPr>
          <w:rFonts w:ascii="Arial" w:eastAsia="MS Mincho" w:hAnsi="Arial" w:cs="Arial"/>
          <w:sz w:val="22"/>
        </w:rPr>
        <w:t xml:space="preserve"> silnice II</w:t>
      </w:r>
      <w:r w:rsidR="006A2BB1">
        <w:rPr>
          <w:rFonts w:ascii="Arial" w:eastAsia="MS Mincho" w:hAnsi="Arial" w:cs="Arial"/>
          <w:sz w:val="22"/>
        </w:rPr>
        <w:t xml:space="preserve">/602 </w:t>
      </w:r>
      <w:r w:rsidR="006A2BB1" w:rsidRPr="00525717">
        <w:rPr>
          <w:rFonts w:ascii="Arial" w:eastAsia="MS Mincho" w:hAnsi="Arial" w:cs="Arial"/>
          <w:sz w:val="22"/>
        </w:rPr>
        <w:t>v</w:t>
      </w:r>
      <w:r w:rsidR="006A2BB1">
        <w:rPr>
          <w:rFonts w:ascii="Arial" w:eastAsia="MS Mincho" w:hAnsi="Arial" w:cs="Arial"/>
          <w:sz w:val="22"/>
        </w:rPr>
        <w:t> </w:t>
      </w:r>
      <w:r w:rsidR="006A2BB1" w:rsidRPr="00525717">
        <w:rPr>
          <w:rFonts w:ascii="Arial" w:eastAsia="MS Mincho" w:hAnsi="Arial" w:cs="Arial"/>
          <w:sz w:val="22"/>
        </w:rPr>
        <w:t>úseku</w:t>
      </w:r>
      <w:r w:rsidR="006A2BB1">
        <w:rPr>
          <w:rFonts w:ascii="Arial" w:eastAsia="MS Mincho" w:hAnsi="Arial" w:cs="Arial"/>
          <w:sz w:val="22"/>
        </w:rPr>
        <w:t xml:space="preserve"> Hubenov - Dušejov (okres Jihlava)</w:t>
      </w:r>
      <w:r w:rsidR="006A2BB1">
        <w:rPr>
          <w:rFonts w:ascii="Arial" w:eastAsia="MS Mincho" w:hAnsi="Arial" w:cs="Arial"/>
        </w:rPr>
        <w:t xml:space="preserve"> </w:t>
      </w:r>
      <w:r w:rsidR="006A2BB1">
        <w:rPr>
          <w:rFonts w:ascii="Arial" w:eastAsia="MS Mincho" w:hAnsi="Arial" w:cs="Arial"/>
          <w:sz w:val="22"/>
        </w:rPr>
        <w:t>a Strměchy - Olešná (okres Pelhřimov)</w:t>
      </w:r>
      <w:r w:rsidR="006A2BB1" w:rsidRPr="00525717">
        <w:rPr>
          <w:rFonts w:ascii="Arial" w:eastAsia="MS Mincho" w:hAnsi="Arial" w:cs="Arial"/>
          <w:sz w:val="22"/>
        </w:rPr>
        <w:t>.</w:t>
      </w:r>
      <w:r w:rsidR="006A2BB1">
        <w:rPr>
          <w:rFonts w:ascii="Arial" w:eastAsia="MS Mincho" w:hAnsi="Arial" w:cs="Arial"/>
          <w:sz w:val="22"/>
        </w:rPr>
        <w:t xml:space="preserve"> Akce</w:t>
      </w:r>
      <w:r w:rsidR="006A2BB1" w:rsidRPr="00525717">
        <w:rPr>
          <w:rFonts w:ascii="Arial" w:eastAsia="MS Mincho" w:hAnsi="Arial" w:cs="Arial"/>
          <w:sz w:val="22"/>
        </w:rPr>
        <w:t xml:space="preserve"> je rozdělena na tři </w:t>
      </w:r>
      <w:r w:rsidR="006A2BB1">
        <w:rPr>
          <w:rFonts w:ascii="Arial" w:eastAsia="MS Mincho" w:hAnsi="Arial" w:cs="Arial"/>
          <w:sz w:val="22"/>
        </w:rPr>
        <w:t>stavby</w:t>
      </w:r>
      <w:r w:rsidR="006A2BB1" w:rsidRPr="00525717">
        <w:rPr>
          <w:rFonts w:ascii="Arial" w:eastAsia="MS Mincho" w:hAnsi="Arial" w:cs="Arial"/>
          <w:sz w:val="22"/>
        </w:rPr>
        <w:t>:</w:t>
      </w:r>
    </w:p>
    <w:p w:rsidR="006A2BB1" w:rsidRDefault="006A2BB1" w:rsidP="006A2BB1">
      <w:pPr>
        <w:spacing w:line="264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1) II/602 hr. kraje – Pelhřimov, 9. stavba</w:t>
      </w:r>
    </w:p>
    <w:p w:rsidR="006A2BB1" w:rsidRDefault="006A2BB1" w:rsidP="006A2BB1">
      <w:pPr>
        <w:spacing w:line="264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2) II/602 hr. kraje – Pelhřimov, 8. stavba – úsek č. 1</w:t>
      </w:r>
    </w:p>
    <w:p w:rsidR="006A2BB1" w:rsidRDefault="006A2BB1" w:rsidP="006A2BB1">
      <w:pPr>
        <w:spacing w:line="264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3) II/602 hr. kraje – Pelhřimov, 8. stavba – úsek č. 2</w:t>
      </w:r>
    </w:p>
    <w:p w:rsidR="006A2BB1" w:rsidRDefault="006A2BB1" w:rsidP="006A2BB1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:rsidR="006A2BB1" w:rsidRDefault="006A2BB1" w:rsidP="006A2BB1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:rsidR="00615596" w:rsidRDefault="00615596" w:rsidP="006A2BB1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:rsidR="00615596" w:rsidRDefault="00615596" w:rsidP="006A2BB1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:rsidR="006A2BB1" w:rsidRPr="00B15CF9" w:rsidRDefault="006A2BB1" w:rsidP="006A2BB1">
      <w:pPr>
        <w:spacing w:line="264" w:lineRule="auto"/>
        <w:jc w:val="both"/>
        <w:rPr>
          <w:rFonts w:ascii="Arial" w:eastAsia="MS Mincho" w:hAnsi="Arial" w:cs="Arial"/>
          <w:spacing w:val="-6"/>
        </w:rPr>
      </w:pPr>
      <w:r w:rsidRPr="00B15CF9">
        <w:rPr>
          <w:rFonts w:ascii="Arial" w:eastAsia="MS Mincho" w:hAnsi="Arial" w:cs="Arial"/>
          <w:spacing w:val="-6"/>
        </w:rPr>
        <w:lastRenderedPageBreak/>
        <w:t>Bližší specifikace:</w:t>
      </w:r>
    </w:p>
    <w:p w:rsidR="006A2BB1" w:rsidRPr="00F415A1" w:rsidRDefault="006A2BB1" w:rsidP="006A2BB1">
      <w:pPr>
        <w:spacing w:before="80" w:line="264" w:lineRule="auto"/>
        <w:jc w:val="both"/>
        <w:rPr>
          <w:rFonts w:ascii="Arial" w:hAnsi="Arial" w:cs="Arial"/>
          <w:b/>
          <w:spacing w:val="-4"/>
        </w:rPr>
      </w:pPr>
      <w:r w:rsidRPr="00F415A1">
        <w:rPr>
          <w:rFonts w:ascii="Arial" w:hAnsi="Arial" w:cs="Arial"/>
          <w:b/>
          <w:spacing w:val="-4"/>
        </w:rPr>
        <w:t>II/602 hr. kraje – Pelhřimov, 9. stavba:</w:t>
      </w:r>
    </w:p>
    <w:p w:rsidR="006A2BB1" w:rsidRDefault="006A2BB1" w:rsidP="006A2BB1">
      <w:pPr>
        <w:spacing w:before="80" w:line="264" w:lineRule="auto"/>
        <w:jc w:val="both"/>
        <w:rPr>
          <w:rFonts w:ascii="Arial" w:eastAsia="MS Mincho" w:hAnsi="Arial" w:cs="Arial"/>
        </w:rPr>
      </w:pPr>
      <w:r>
        <w:rPr>
          <w:rFonts w:ascii="Arial" w:hAnsi="Arial" w:cs="Arial"/>
          <w:spacing w:val="-4"/>
        </w:rPr>
        <w:t>Jedná se o rekonstrukci silnice II/602 v úseku Hubenov – Dušejov s délkou úseku cca 1,8 km. Stavba bude provedena dle projektové dokumentace „</w:t>
      </w:r>
      <w:r>
        <w:rPr>
          <w:rFonts w:ascii="Arial" w:eastAsia="MS Mincho" w:hAnsi="Arial" w:cs="Arial"/>
        </w:rPr>
        <w:t>II/602 hr. kraje – Pelhřimov, 9. stavba“ vypracované ve stupni PDPS společností Sweco Hydroprojekt a.s. v červenci 2018.</w:t>
      </w:r>
    </w:p>
    <w:p w:rsidR="006A2BB1" w:rsidRPr="003446FF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 w:rsidRPr="003446FF">
        <w:rPr>
          <w:rFonts w:ascii="Arial" w:eastAsia="MS Mincho" w:hAnsi="Arial" w:cs="Arial"/>
        </w:rPr>
        <w:t>Členění stavby na stavební objekty: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000 – Vedlejší a ostatní náklady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101.1 – Silnice II/602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101.1A – Nástupiště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101.2 – Propustky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101.3 – Objízdná trasa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101.4 – Křižovatka Dušejov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101.5 – Křižovatka II/602 a III/01945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101.6 - Přechodné dopravní značení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800 – Ozelenění a náhradní výsadba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Pozn.: Součástí projektové dokumentace je rovněž stavební objekt SO 400 – Přeložky IS. Tento objekt řeší nutnou překládku sdělovacího kabelu společnosti Cetin a.s. SO 400 – Přeložky IS není předmětem </w:t>
      </w:r>
      <w:r w:rsidR="001F5500">
        <w:rPr>
          <w:rFonts w:ascii="Arial" w:eastAsia="MS Mincho" w:hAnsi="Arial" w:cs="Arial"/>
        </w:rPr>
        <w:t>plnění</w:t>
      </w:r>
      <w:r>
        <w:rPr>
          <w:rFonts w:ascii="Arial" w:eastAsia="MS Mincho" w:hAnsi="Arial" w:cs="Arial"/>
        </w:rPr>
        <w:t xml:space="preserve">. Realizaci zajistí v době provádění stavby vlastník inženýrské sítě na základě smlouvy o přeložce uzavřené s Krajem </w:t>
      </w:r>
      <w:r w:rsidR="008368EF">
        <w:rPr>
          <w:rFonts w:ascii="Arial" w:eastAsia="MS Mincho" w:hAnsi="Arial" w:cs="Arial"/>
        </w:rPr>
        <w:t>V</w:t>
      </w:r>
      <w:r>
        <w:rPr>
          <w:rFonts w:ascii="Arial" w:eastAsia="MS Mincho" w:hAnsi="Arial" w:cs="Arial"/>
        </w:rPr>
        <w:t xml:space="preserve">ysočina. </w:t>
      </w:r>
    </w:p>
    <w:p w:rsidR="006A2BB1" w:rsidRDefault="006A2BB1" w:rsidP="006A2BB1">
      <w:pPr>
        <w:rPr>
          <w:rFonts w:ascii="Arial" w:eastAsia="MS Mincho" w:hAnsi="Arial" w:cs="Arial"/>
          <w:spacing w:val="-4"/>
        </w:rPr>
      </w:pPr>
    </w:p>
    <w:p w:rsidR="006A2BB1" w:rsidRPr="00F415A1" w:rsidRDefault="006A2BB1" w:rsidP="006A2BB1">
      <w:pPr>
        <w:rPr>
          <w:rFonts w:ascii="Arial" w:eastAsia="MS Mincho" w:hAnsi="Arial" w:cs="Arial"/>
          <w:b/>
          <w:spacing w:val="-4"/>
        </w:rPr>
      </w:pPr>
      <w:r w:rsidRPr="00F415A1">
        <w:rPr>
          <w:rFonts w:ascii="Arial" w:eastAsia="MS Mincho" w:hAnsi="Arial" w:cs="Arial"/>
          <w:b/>
          <w:spacing w:val="-4"/>
        </w:rPr>
        <w:t>II/602 hr. kraje – Pelhřimov, 8. stavba - úsek č. 1</w:t>
      </w:r>
    </w:p>
    <w:p w:rsidR="006A2BB1" w:rsidRDefault="006A2BB1" w:rsidP="006A2BB1">
      <w:pPr>
        <w:spacing w:before="80" w:line="264" w:lineRule="auto"/>
        <w:jc w:val="both"/>
        <w:rPr>
          <w:rFonts w:ascii="Arial" w:eastAsia="MS Mincho" w:hAnsi="Arial" w:cs="Arial"/>
        </w:rPr>
      </w:pPr>
      <w:r>
        <w:rPr>
          <w:rFonts w:ascii="Arial" w:hAnsi="Arial" w:cs="Arial"/>
          <w:spacing w:val="-4"/>
        </w:rPr>
        <w:t>Jedná se o rekonstrukci silnice II/602 v úseku, který začíná u konce obce Strměchy a končí cca</w:t>
      </w:r>
      <w:r w:rsidR="003446FF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</w:rPr>
        <w:t>580 m před začátkem obce Olešná. Celková délka úseku je cca 1,725 km.  Stavba bude provedena dle projektové dokumentace „</w:t>
      </w:r>
      <w:r>
        <w:rPr>
          <w:rFonts w:ascii="Arial" w:eastAsia="MS Mincho" w:hAnsi="Arial" w:cs="Arial"/>
        </w:rPr>
        <w:t>II/602 hr. kraje – Pelhřimov, 8. stavba – úsek č. 1“ vypracované ve stupni PDPS společností Sweco Hydroprojekt a.s. v listopadu 2018.</w:t>
      </w:r>
    </w:p>
    <w:p w:rsidR="006A2BB1" w:rsidRPr="003446FF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 w:rsidRPr="003446FF">
        <w:rPr>
          <w:rFonts w:ascii="Arial" w:eastAsia="MS Mincho" w:hAnsi="Arial" w:cs="Arial"/>
        </w:rPr>
        <w:t>Členění stavby na stavební objekty: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000 – Vedlejší a ostatní náklady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101.1 – Silnice II/602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101.1A – Nástupiště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101.2 – Propustky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101.3 – Přechodné dopravní značení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800 – Ozelenění a náhradní výsadba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Pozn.: Součástí projektové dokumentace je rovněž stavební objekt </w:t>
      </w:r>
      <w:r w:rsidRPr="005E458E">
        <w:rPr>
          <w:rFonts w:ascii="Arial" w:eastAsia="MS Mincho" w:hAnsi="Arial" w:cs="Arial"/>
        </w:rPr>
        <w:t>SO 400 – Elektro a sdělovací objekty (přeložka kabelů)</w:t>
      </w:r>
      <w:r>
        <w:rPr>
          <w:rFonts w:ascii="Arial" w:eastAsia="MS Mincho" w:hAnsi="Arial" w:cs="Arial"/>
        </w:rPr>
        <w:t xml:space="preserve">. Tento objekt řeší nutnou přeložku sdělovacího kabelu společnosti Cetin a.s. Stavební objekt </w:t>
      </w:r>
      <w:r w:rsidRPr="005E458E">
        <w:rPr>
          <w:rFonts w:ascii="Arial" w:eastAsia="MS Mincho" w:hAnsi="Arial" w:cs="Arial"/>
        </w:rPr>
        <w:t xml:space="preserve">SO 400 – Elektro a sdělovací objekty (přeložka kabelů) </w:t>
      </w:r>
      <w:r>
        <w:rPr>
          <w:rFonts w:ascii="Arial" w:eastAsia="MS Mincho" w:hAnsi="Arial" w:cs="Arial"/>
        </w:rPr>
        <w:t xml:space="preserve">není předmětem této veřejné zakázky na stavební práce. Realizaci zajistí v době provádění stavby vlastník inženýrské sítě na základě smlouvy o přeložce uzavřené s Krajem </w:t>
      </w:r>
      <w:r w:rsidR="008368EF">
        <w:rPr>
          <w:rFonts w:ascii="Arial" w:eastAsia="MS Mincho" w:hAnsi="Arial" w:cs="Arial"/>
        </w:rPr>
        <w:t>V</w:t>
      </w:r>
      <w:r>
        <w:rPr>
          <w:rFonts w:ascii="Arial" w:eastAsia="MS Mincho" w:hAnsi="Arial" w:cs="Arial"/>
        </w:rPr>
        <w:t xml:space="preserve">ysočina. </w:t>
      </w:r>
    </w:p>
    <w:p w:rsidR="006A2BB1" w:rsidRDefault="006A2BB1" w:rsidP="006A2BB1">
      <w:pPr>
        <w:spacing w:before="80" w:line="264" w:lineRule="auto"/>
        <w:jc w:val="both"/>
        <w:rPr>
          <w:rFonts w:ascii="Arial" w:eastAsia="MS Mincho" w:hAnsi="Arial" w:cs="Arial"/>
        </w:rPr>
      </w:pPr>
    </w:p>
    <w:p w:rsidR="00615596" w:rsidRDefault="00615596" w:rsidP="006A2BB1">
      <w:pPr>
        <w:jc w:val="both"/>
        <w:rPr>
          <w:rFonts w:ascii="Arial" w:eastAsia="MS Mincho" w:hAnsi="Arial" w:cs="Arial"/>
          <w:b/>
          <w:spacing w:val="-4"/>
        </w:rPr>
      </w:pPr>
    </w:p>
    <w:p w:rsidR="00615596" w:rsidRDefault="00615596" w:rsidP="006A2BB1">
      <w:pPr>
        <w:jc w:val="both"/>
        <w:rPr>
          <w:rFonts w:ascii="Arial" w:eastAsia="MS Mincho" w:hAnsi="Arial" w:cs="Arial"/>
          <w:b/>
          <w:spacing w:val="-4"/>
        </w:rPr>
      </w:pPr>
    </w:p>
    <w:p w:rsidR="006A2BB1" w:rsidRDefault="006A2BB1" w:rsidP="006A2BB1">
      <w:pPr>
        <w:jc w:val="both"/>
        <w:rPr>
          <w:rFonts w:ascii="Arial" w:eastAsia="MS Mincho" w:hAnsi="Arial" w:cs="Arial"/>
          <w:b/>
          <w:spacing w:val="-4"/>
        </w:rPr>
      </w:pPr>
      <w:r w:rsidRPr="00F415A1">
        <w:rPr>
          <w:rFonts w:ascii="Arial" w:eastAsia="MS Mincho" w:hAnsi="Arial" w:cs="Arial"/>
          <w:b/>
          <w:spacing w:val="-4"/>
        </w:rPr>
        <w:lastRenderedPageBreak/>
        <w:t xml:space="preserve">II/602 hr. kraje – Pelhřimov, 8. stavba - </w:t>
      </w:r>
      <w:r>
        <w:rPr>
          <w:rFonts w:ascii="Arial" w:eastAsia="MS Mincho" w:hAnsi="Arial" w:cs="Arial"/>
          <w:b/>
          <w:spacing w:val="-4"/>
        </w:rPr>
        <w:t>úsek č. 2</w:t>
      </w:r>
    </w:p>
    <w:p w:rsidR="006A2BB1" w:rsidRDefault="006A2BB1" w:rsidP="006A2BB1">
      <w:pPr>
        <w:jc w:val="both"/>
        <w:rPr>
          <w:rFonts w:ascii="Arial" w:eastAsia="MS Mincho" w:hAnsi="Arial" w:cs="Arial"/>
        </w:rPr>
      </w:pPr>
      <w:r>
        <w:rPr>
          <w:rFonts w:ascii="Arial" w:hAnsi="Arial" w:cs="Arial"/>
          <w:spacing w:val="-4"/>
        </w:rPr>
        <w:t>Jedná se o rekonstrukci silnice II/602 v úseku, který bezprostředně navazuje na stavbu „</w:t>
      </w:r>
      <w:r w:rsidRPr="00B5431D">
        <w:rPr>
          <w:rFonts w:ascii="Arial" w:eastAsia="MS Mincho" w:hAnsi="Arial" w:cs="Arial"/>
          <w:spacing w:val="-4"/>
        </w:rPr>
        <w:t>II/602 hr. kraje – Pelhřimov, 8. stavba - úsek č. 1“ a končí před obcí Olešná</w:t>
      </w:r>
      <w:r w:rsidRPr="00B5431D">
        <w:rPr>
          <w:rFonts w:ascii="Arial" w:hAnsi="Arial" w:cs="Arial"/>
          <w:spacing w:val="-4"/>
        </w:rPr>
        <w:t xml:space="preserve"> (úsek částečně zasahuje do zastavěné části obce Olešná). Celková délka úseku je cca 0,655 km</w:t>
      </w:r>
      <w:r>
        <w:rPr>
          <w:rFonts w:ascii="Arial" w:hAnsi="Arial" w:cs="Arial"/>
          <w:spacing w:val="-4"/>
        </w:rPr>
        <w:t>Stavba bude provedena dle projektové dokumentace „</w:t>
      </w:r>
      <w:r>
        <w:rPr>
          <w:rFonts w:ascii="Arial" w:eastAsia="MS Mincho" w:hAnsi="Arial" w:cs="Arial"/>
        </w:rPr>
        <w:t>II/602 hr. kraje – Pelhřimov, 8. stavba – úsek č. 2“ vypracované ve stupni PDPS společností HBH Projekt spol. s r.o. v dubnu 2018.</w:t>
      </w:r>
    </w:p>
    <w:p w:rsidR="006A2BB1" w:rsidRPr="003446FF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 w:rsidRPr="003446FF">
        <w:rPr>
          <w:rFonts w:ascii="Arial" w:eastAsia="MS Mincho" w:hAnsi="Arial" w:cs="Arial"/>
        </w:rPr>
        <w:t>Členění stavby na stavební objekty: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000 Vedlejší a ostatní náklady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101 Silnice II/602 km 0,000 – 0,655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SO 111 </w:t>
      </w:r>
      <w:r w:rsidRPr="00CD7645">
        <w:rPr>
          <w:rFonts w:ascii="Arial" w:hAnsi="Arial" w:cs="Arial"/>
          <w:spacing w:val="-2"/>
        </w:rPr>
        <w:t>Ú</w:t>
      </w:r>
      <w:r w:rsidRPr="00CD7645">
        <w:rPr>
          <w:rFonts w:ascii="Arial" w:eastAsia="MS Mincho" w:hAnsi="Arial" w:cs="Arial"/>
        </w:rPr>
        <w:t>pra</w:t>
      </w:r>
      <w:r>
        <w:rPr>
          <w:rFonts w:ascii="Arial" w:eastAsia="MS Mincho" w:hAnsi="Arial" w:cs="Arial"/>
        </w:rPr>
        <w:t>va účelové komunikace v km 0,073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131 Hospodářský sjezd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181 Dopravně inženýrská opatření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191 Dopravní značení - Kraj Vysočina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251 Úprava opěrné zdi v km 0,620 vlevo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SO 801 Vegetační úpravy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Pozn.: Součástí projektové dokumentace je rovněž stavební objekt </w:t>
      </w:r>
      <w:r w:rsidRPr="005E458E">
        <w:rPr>
          <w:rFonts w:ascii="Arial" w:eastAsia="MS Mincho" w:hAnsi="Arial" w:cs="Arial"/>
        </w:rPr>
        <w:t xml:space="preserve">SO </w:t>
      </w:r>
      <w:r>
        <w:rPr>
          <w:rFonts w:ascii="Arial" w:eastAsia="MS Mincho" w:hAnsi="Arial" w:cs="Arial"/>
        </w:rPr>
        <w:t>461</w:t>
      </w:r>
      <w:r w:rsidRPr="005E458E">
        <w:rPr>
          <w:rFonts w:ascii="Arial" w:eastAsia="MS Mincho" w:hAnsi="Arial" w:cs="Arial"/>
        </w:rPr>
        <w:t xml:space="preserve"> – </w:t>
      </w:r>
      <w:r>
        <w:rPr>
          <w:rFonts w:ascii="Arial" w:eastAsia="MS Mincho" w:hAnsi="Arial" w:cs="Arial"/>
        </w:rPr>
        <w:t xml:space="preserve">Přeložka vedení CETIN. Tento objekt řeší nutnou přeložku sdělovacího kabelu společnosti Cetin a.s. Stavební objekt </w:t>
      </w:r>
      <w:r w:rsidRPr="005E458E">
        <w:rPr>
          <w:rFonts w:ascii="Arial" w:eastAsia="MS Mincho" w:hAnsi="Arial" w:cs="Arial"/>
        </w:rPr>
        <w:t xml:space="preserve">SO </w:t>
      </w:r>
      <w:r>
        <w:rPr>
          <w:rFonts w:ascii="Arial" w:eastAsia="MS Mincho" w:hAnsi="Arial" w:cs="Arial"/>
        </w:rPr>
        <w:t>461</w:t>
      </w:r>
      <w:r w:rsidRPr="005E458E">
        <w:rPr>
          <w:rFonts w:ascii="Arial" w:eastAsia="MS Mincho" w:hAnsi="Arial" w:cs="Arial"/>
        </w:rPr>
        <w:t xml:space="preserve"> – </w:t>
      </w:r>
      <w:r>
        <w:rPr>
          <w:rFonts w:ascii="Arial" w:eastAsia="MS Mincho" w:hAnsi="Arial" w:cs="Arial"/>
        </w:rPr>
        <w:t xml:space="preserve">Přeložka vedení CETIN není předmětem </w:t>
      </w:r>
      <w:r w:rsidR="001F5500">
        <w:rPr>
          <w:rFonts w:ascii="Arial" w:eastAsia="MS Mincho" w:hAnsi="Arial" w:cs="Arial"/>
        </w:rPr>
        <w:t>plnění</w:t>
      </w:r>
      <w:r>
        <w:rPr>
          <w:rFonts w:ascii="Arial" w:eastAsia="MS Mincho" w:hAnsi="Arial" w:cs="Arial"/>
        </w:rPr>
        <w:t xml:space="preserve">. Realizaci zajistí v době provádění stavby vlastník inženýrské sítě na základě smlouvy o přeložce uzavřené s Krajem </w:t>
      </w:r>
      <w:r w:rsidR="008368EF">
        <w:rPr>
          <w:rFonts w:ascii="Arial" w:eastAsia="MS Mincho" w:hAnsi="Arial" w:cs="Arial"/>
        </w:rPr>
        <w:t>V</w:t>
      </w:r>
      <w:r>
        <w:rPr>
          <w:rFonts w:ascii="Arial" w:eastAsia="MS Mincho" w:hAnsi="Arial" w:cs="Arial"/>
        </w:rPr>
        <w:t>ysočina.</w:t>
      </w:r>
    </w:p>
    <w:p w:rsidR="006A2BB1" w:rsidRDefault="006A2BB1" w:rsidP="006A2BB1">
      <w:pPr>
        <w:spacing w:before="80" w:line="264" w:lineRule="auto"/>
        <w:ind w:left="567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Dále je součástí projektové dokumentace stavební objekt SO 192 Dopravní značení – obec Olešná. Tento stavební objekt není předmětem </w:t>
      </w:r>
      <w:r w:rsidR="001F5500">
        <w:rPr>
          <w:rFonts w:ascii="Arial" w:eastAsia="MS Mincho" w:hAnsi="Arial" w:cs="Arial"/>
        </w:rPr>
        <w:t>plnění</w:t>
      </w:r>
      <w:r>
        <w:rPr>
          <w:rFonts w:ascii="Arial" w:eastAsia="MS Mincho" w:hAnsi="Arial" w:cs="Arial"/>
        </w:rPr>
        <w:t>. Bude realizován samostatně obcí Olešná</w:t>
      </w:r>
      <w:r w:rsidR="008368EF">
        <w:rPr>
          <w:rFonts w:ascii="Arial" w:eastAsia="MS Mincho" w:hAnsi="Arial" w:cs="Arial"/>
        </w:rPr>
        <w:t>.</w:t>
      </w:r>
    </w:p>
    <w:p w:rsidR="00226545" w:rsidRPr="00B1096B" w:rsidRDefault="00226545" w:rsidP="00F73D91">
      <w:pPr>
        <w:jc w:val="both"/>
        <w:rPr>
          <w:rFonts w:ascii="Arial" w:hAnsi="Arial" w:cs="Arial"/>
          <w:highlight w:val="yellow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EE48BB" w:rsidRPr="00C03FCD" w:rsidRDefault="00F73D91" w:rsidP="00C03FCD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  <w:r w:rsidR="00EE48BB" w:rsidRPr="00C03FCD">
        <w:rPr>
          <w:bCs/>
          <w:spacing w:val="-6"/>
        </w:rPr>
        <w:t xml:space="preserve"> </w:t>
      </w:r>
    </w:p>
    <w:p w:rsidR="00EE48BB" w:rsidRPr="00EE48BB" w:rsidRDefault="008F034A" w:rsidP="00EE48BB">
      <w:pPr>
        <w:pStyle w:val="Bntext2"/>
        <w:spacing w:before="60"/>
        <w:ind w:left="284" w:hanging="142"/>
      </w:pPr>
      <w:r>
        <w:rPr>
          <w:bCs/>
          <w:spacing w:val="-6"/>
        </w:rPr>
        <w:t>-</w:t>
      </w:r>
      <w:r w:rsidR="00B52129">
        <w:rPr>
          <w:spacing w:val="-6"/>
        </w:rPr>
        <w:t xml:space="preserve"> </w:t>
      </w:r>
      <w:r w:rsidR="00E2097D">
        <w:rPr>
          <w:spacing w:val="-6"/>
        </w:rPr>
        <w:t>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podmínek. Zajištění objízdných tras předpokládá rovněž soustavnou péči zhotovitele o kvalitní značení objízdných tras po celou dobu výstavby.</w:t>
      </w:r>
    </w:p>
    <w:p w:rsidR="00F73D91" w:rsidRPr="00EE48BB" w:rsidRDefault="00E2097D" w:rsidP="00F822FB">
      <w:pPr>
        <w:pStyle w:val="Bntext2"/>
        <w:spacing w:before="60"/>
        <w:ind w:left="284" w:hanging="142"/>
      </w:pPr>
      <w:r>
        <w:t>- z</w:t>
      </w:r>
      <w:r w:rsidR="00F73D91" w:rsidRPr="00EE48BB">
        <w:t>abezpečení změny dopravního značení a  provizorních objížděk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730B3A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  <w:t>soustavné zajišťování</w:t>
      </w:r>
      <w:r w:rsidR="00F73D91" w:rsidRPr="008A7B4D">
        <w:rPr>
          <w:rFonts w:cs="Arial"/>
          <w:szCs w:val="22"/>
        </w:rPr>
        <w:t xml:space="preserve"> zřetelného označení obvodu staveniště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SO) </w:t>
      </w:r>
      <w:r w:rsidR="00730B3A">
        <w:rPr>
          <w:rFonts w:cs="Arial"/>
          <w:bCs/>
          <w:spacing w:val="-6"/>
          <w:szCs w:val="22"/>
        </w:rPr>
        <w:t xml:space="preserve">pro </w:t>
      </w:r>
      <w:r w:rsidR="004A0E78">
        <w:rPr>
          <w:rFonts w:cs="Arial"/>
          <w:bCs/>
          <w:spacing w:val="-6"/>
          <w:szCs w:val="22"/>
        </w:rPr>
        <w:t xml:space="preserve">každý úsek </w:t>
      </w:r>
      <w:r w:rsidR="0049529B" w:rsidRPr="0049529B">
        <w:rPr>
          <w:rFonts w:cs="Arial"/>
          <w:bCs/>
          <w:spacing w:val="-6"/>
          <w:szCs w:val="22"/>
        </w:rPr>
        <w:t>zvlášť</w:t>
      </w:r>
      <w:r w:rsidR="003D0151">
        <w:rPr>
          <w:rFonts w:cs="Arial"/>
          <w:bCs/>
          <w:spacing w:val="-6"/>
          <w:szCs w:val="22"/>
        </w:rPr>
        <w:t>;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lastRenderedPageBreak/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F73D91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jen </w:t>
      </w:r>
      <w:r w:rsidRPr="002906BD">
        <w:rPr>
          <w:spacing w:val="-6"/>
        </w:rPr>
        <w:t xml:space="preserve">RDS) </w:t>
      </w:r>
      <w:r w:rsidR="004A0E78">
        <w:rPr>
          <w:spacing w:val="-6"/>
        </w:rPr>
        <w:t>zpracovaná oprávněnou osobou dle zákona č. 360/1992 Sb. v </w:t>
      </w:r>
      <w:r w:rsidR="002B6B2D">
        <w:rPr>
          <w:spacing w:val="-6"/>
        </w:rPr>
        <w:t>aktuálním</w:t>
      </w:r>
      <w:r w:rsidR="004A0E78">
        <w:rPr>
          <w:spacing w:val="-6"/>
        </w:rPr>
        <w:t xml:space="preserve"> znění </w:t>
      </w:r>
      <w:r w:rsidR="00321F40">
        <w:rPr>
          <w:spacing w:val="-6"/>
        </w:rPr>
        <w:t>dle potřeb zhotovitele</w:t>
      </w:r>
      <w:r w:rsidR="0049529B" w:rsidRPr="002906BD">
        <w:rPr>
          <w:spacing w:val="-6"/>
        </w:rPr>
        <w:t xml:space="preserve"> </w:t>
      </w:r>
      <w:r w:rsidRPr="002906BD">
        <w:rPr>
          <w:spacing w:val="-6"/>
        </w:rPr>
        <w:t>–</w:t>
      </w:r>
      <w:r w:rsidRPr="0049529B">
        <w:rPr>
          <w:spacing w:val="-6"/>
        </w:rPr>
        <w:t xml:space="preserve"> v rozsahu dle soupisu prací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CD.</w:t>
      </w:r>
      <w:r w:rsidRPr="0049529B"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jen TD)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jen </w:t>
      </w:r>
      <w:r w:rsidR="006C1D3A" w:rsidRPr="0049529B">
        <w:t>AD)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</w:p>
    <w:p w:rsidR="00B3242B" w:rsidRDefault="00F73D91" w:rsidP="00F822FB">
      <w:pPr>
        <w:pStyle w:val="Bntext2"/>
        <w:spacing w:before="60"/>
        <w:ind w:left="284" w:hanging="142"/>
        <w:rPr>
          <w:rFonts w:cs="Arial"/>
          <w:spacing w:val="-4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E2097D">
        <w:rPr>
          <w:rFonts w:cs="Arial"/>
          <w:spacing w:val="-4"/>
          <w:szCs w:val="22"/>
        </w:rPr>
        <w:t>d</w:t>
      </w:r>
      <w:r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jen </w:t>
      </w:r>
      <w:r w:rsidR="002829A2" w:rsidRPr="00925A01">
        <w:rPr>
          <w:rFonts w:cs="Arial"/>
          <w:spacing w:val="-4"/>
          <w:szCs w:val="22"/>
        </w:rPr>
        <w:t xml:space="preserve">DSPS) </w:t>
      </w:r>
      <w:r w:rsidRPr="00925A01">
        <w:rPr>
          <w:rFonts w:cs="Arial"/>
          <w:spacing w:val="-4"/>
          <w:szCs w:val="22"/>
        </w:rPr>
        <w:t xml:space="preserve">bude </w:t>
      </w:r>
      <w:r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Pr="000934AE">
        <w:rPr>
          <w:rFonts w:cs="Arial"/>
          <w:spacing w:val="-4"/>
          <w:szCs w:val="22"/>
        </w:rPr>
        <w:t>x</w:t>
      </w:r>
      <w:r w:rsidRPr="00925A01">
        <w:rPr>
          <w:rFonts w:cs="Arial"/>
          <w:spacing w:val="-6"/>
          <w:szCs w:val="22"/>
        </w:rPr>
        <w:t xml:space="preserve"> v digitální</w:t>
      </w:r>
      <w:r w:rsidRPr="00925A01">
        <w:rPr>
          <w:rFonts w:cs="Arial"/>
          <w:szCs w:val="22"/>
        </w:rPr>
        <w:t xml:space="preserve"> podobě na CD nosiči k zahájení přejímacího řízení při dokončení díla. Součástí dokladů </w:t>
      </w:r>
      <w:r w:rsidRPr="00925A01">
        <w:rPr>
          <w:rFonts w:cs="Arial"/>
          <w:spacing w:val="-4"/>
          <w:szCs w:val="22"/>
        </w:rPr>
        <w:t>při předání dokončeného díla budou rovněž veškeré atesty, prohlášení o shodě, certifikáty na použité</w:t>
      </w:r>
      <w:r w:rsidRPr="00925A01">
        <w:rPr>
          <w:rFonts w:cs="Arial"/>
          <w:szCs w:val="22"/>
        </w:rPr>
        <w:t xml:space="preserve"> materiály a výrobky a protokoly o výsledcích provedených zkoušek. Projektová dokumentace předkládaná zhotovitelem (DSPS) bude zpracována v souladu se </w:t>
      </w:r>
      <w:r w:rsidR="009320D8" w:rsidRPr="00925A01">
        <w:rPr>
          <w:rFonts w:cs="Arial"/>
          <w:szCs w:val="22"/>
        </w:rPr>
        <w:t xml:space="preserve">Směrnicí pro dokumentaci </w:t>
      </w:r>
      <w:r w:rsidR="009320D8" w:rsidRPr="00925A01">
        <w:rPr>
          <w:rFonts w:cs="Arial"/>
          <w:spacing w:val="-4"/>
          <w:szCs w:val="22"/>
        </w:rPr>
        <w:t>staveb pozemních komunikací (schváleno MD – OPK, č. j. 158/2017-120-TN/1 ze dne 9. srpna 2017</w:t>
      </w:r>
      <w:r w:rsidRPr="00925A01">
        <w:rPr>
          <w:rFonts w:cs="Arial"/>
          <w:spacing w:val="-4"/>
          <w:szCs w:val="22"/>
        </w:rPr>
        <w:t>).</w:t>
      </w:r>
    </w:p>
    <w:p w:rsidR="00F73D91" w:rsidRPr="00B1096B" w:rsidRDefault="00B3242B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="00F73D91" w:rsidRPr="00925A01">
        <w:rPr>
          <w:rFonts w:cs="Arial"/>
          <w:szCs w:val="22"/>
          <w:lang w:eastAsia="ar-SA"/>
        </w:rPr>
        <w:t>doklady o nakládání s odpady s uvedením místa uložení, přesného množství, názvu stavby a s potvrzením o převzetí.</w:t>
      </w:r>
      <w:r w:rsidR="00B467A4" w:rsidRPr="00925A01">
        <w:rPr>
          <w:rFonts w:cs="Arial"/>
          <w:szCs w:val="22"/>
          <w:lang w:eastAsia="ar-SA"/>
        </w:rPr>
        <w:t xml:space="preserve"> </w:t>
      </w:r>
      <w:r w:rsidR="00306E3D" w:rsidRPr="00925A01">
        <w:rPr>
          <w:rFonts w:cs="Arial"/>
          <w:szCs w:val="22"/>
        </w:rPr>
        <w:t>Z</w:t>
      </w:r>
      <w:r w:rsidR="00B467A4" w:rsidRPr="00925A01">
        <w:rPr>
          <w:rFonts w:cs="Arial"/>
          <w:szCs w:val="22"/>
        </w:rPr>
        <w:t>hotovitel je povinen veškerý materiál ze stavby zlikvidovat v souladu se zákonem o odpadech.</w:t>
      </w:r>
    </w:p>
    <w:p w:rsidR="0019010B" w:rsidRPr="000934AE" w:rsidRDefault="00140C17" w:rsidP="000934AE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="00D63034" w:rsidRPr="00925A01">
        <w:rPr>
          <w:rFonts w:cs="Arial"/>
          <w:szCs w:val="22"/>
        </w:rPr>
        <w:tab/>
      </w:r>
      <w:r w:rsidR="00E2097D">
        <w:rPr>
          <w:rFonts w:cs="Arial"/>
          <w:szCs w:val="22"/>
        </w:rPr>
        <w:t>p</w:t>
      </w:r>
      <w:r w:rsidR="009869E6" w:rsidRPr="00925A01">
        <w:rPr>
          <w:rFonts w:cs="Arial"/>
          <w:szCs w:val="22"/>
        </w:rPr>
        <w:t xml:space="preserve">o dokončení </w:t>
      </w:r>
      <w:r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238FE">
        <w:rPr>
          <w:rFonts w:cs="Arial"/>
          <w:szCs w:val="22"/>
        </w:rPr>
        <w:t>stavebních prací</w:t>
      </w:r>
      <w:r w:rsidR="00D63034" w:rsidRPr="00925A01">
        <w:rPr>
          <w:rFonts w:cs="Arial"/>
          <w:szCs w:val="22"/>
        </w:rPr>
        <w:t xml:space="preserve"> </w:t>
      </w:r>
      <w:r w:rsidR="0011174B" w:rsidRPr="00925A01">
        <w:rPr>
          <w:rFonts w:cs="Arial"/>
          <w:szCs w:val="22"/>
        </w:rPr>
        <w:t>budou vypracovány geometrické plány (dále jen GP)</w:t>
      </w:r>
      <w:r w:rsidR="000934AE">
        <w:rPr>
          <w:rFonts w:cs="Arial"/>
          <w:szCs w:val="22"/>
        </w:rPr>
        <w:t xml:space="preserve"> v rozsahu trvalého záboru stavby.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D238FE">
        <w:rPr>
          <w:rFonts w:cs="Arial"/>
          <w:spacing w:val="-6"/>
          <w:szCs w:val="22"/>
        </w:rPr>
        <w:t xml:space="preserve">(samostatně pro jednotlivé katastrální území)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Všechny GP budou mít náležitosti stanovené zvláštními předpisy, zejména Vyhláškou č. 26/2007 Sb.,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úřadem. GP budou způsobilé 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E2097D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25BED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A546E2">
        <w:rPr>
          <w:rFonts w:cs="Arial"/>
          <w:szCs w:val="22"/>
        </w:rPr>
        <w:t>dopracování a</w:t>
      </w:r>
      <w:r w:rsidR="000934AE" w:rsidRPr="00C160F3">
        <w:rPr>
          <w:rFonts w:cs="Arial"/>
          <w:szCs w:val="22"/>
        </w:rPr>
        <w:t xml:space="preserve"> odsouhlasení Havarijního a P</w:t>
      </w:r>
      <w:r w:rsidR="00925A01" w:rsidRPr="00C160F3">
        <w:rPr>
          <w:rFonts w:cs="Arial"/>
          <w:szCs w:val="22"/>
        </w:rPr>
        <w:t>ovodňového plánu (před zahájením stavebních prací)</w:t>
      </w:r>
      <w:r w:rsidR="000934AE" w:rsidRPr="00C160F3">
        <w:rPr>
          <w:rFonts w:cs="Arial"/>
          <w:szCs w:val="22"/>
        </w:rPr>
        <w:t xml:space="preserve">, vždy 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0934AE" w:rsidRPr="00C160F3">
        <w:rPr>
          <w:rFonts w:cs="Arial"/>
          <w:szCs w:val="22"/>
        </w:rPr>
        <w:t xml:space="preserve">.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zhotovení práce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C2FC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BC2FCE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BC2FCE" w:rsidRDefault="00E2097D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BD61DE" w:rsidRPr="00BC2FCE">
        <w:rPr>
          <w:rFonts w:cs="Arial"/>
          <w:szCs w:val="22"/>
        </w:rPr>
        <w:t>.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E2097D">
        <w:rPr>
          <w:rFonts w:cs="Arial"/>
          <w:spacing w:val="2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montážní prostředky a pomůcky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 w:rsidRPr="00925A01">
        <w:rPr>
          <w:rFonts w:cs="Arial"/>
          <w:szCs w:val="22"/>
        </w:rPr>
        <w:t>,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zabezpečení skládky přebytečné zeminy, asfaltu</w:t>
      </w:r>
      <w:r w:rsidR="00982F34" w:rsidRPr="00C160F3">
        <w:rPr>
          <w:rFonts w:cs="Arial"/>
          <w:szCs w:val="22"/>
        </w:rPr>
        <w:t>,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>zajištění veškerých dokladů požadovaných stavebním úřady,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1F5500">
        <w:rPr>
          <w:rFonts w:cs="Arial"/>
          <w:szCs w:val="22"/>
        </w:rPr>
        <w:t>,</w:t>
      </w:r>
    </w:p>
    <w:p w:rsidR="0070081E" w:rsidRPr="00925A01" w:rsidRDefault="00E2097D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1F5500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E2097D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0C2C1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  <w:r w:rsidR="000C2C11">
        <w:t>- zhotovitel je povinen zajistit průjezdnost prostoru staveniště v zimn</w:t>
      </w:r>
      <w:r w:rsidR="003A5EFB">
        <w:t>ích měsících (listopad-březen). P</w:t>
      </w:r>
      <w:r w:rsidR="000C2C11">
        <w:t>okud bude stavba uvedena do režimu předčasného užívání, zajistí zimní údržbu objednatel prostřednictvím svého správce komunikace – KSÚSV, pokud nebude stavba v režimu předčasného užívání, zajistí zimní údržbu zhotovitel.</w:t>
      </w:r>
    </w:p>
    <w:p w:rsidR="00316D86" w:rsidRPr="00B1096B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0C2C11" w:rsidRPr="00BF7798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ů </w:t>
      </w:r>
      <w:r w:rsidR="008F034A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všech </w:t>
      </w:r>
      <w:r w:rsidR="000C2C11" w:rsidRPr="00BF7798">
        <w:rPr>
          <w:rFonts w:ascii="Arial" w:hAnsi="Arial" w:cs="Arial"/>
          <w:b w:val="0"/>
          <w:bCs w:val="0"/>
          <w:sz w:val="22"/>
          <w:szCs w:val="22"/>
          <w:lang w:val="cs-CZ"/>
        </w:rPr>
        <w:t>úseků stavby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786903">
        <w:rPr>
          <w:rFonts w:ascii="Arial" w:hAnsi="Arial" w:cs="Arial"/>
          <w:sz w:val="22"/>
        </w:rPr>
        <w:t xml:space="preserve">technickým dozorem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BC4654">
        <w:rPr>
          <w:rFonts w:ascii="Arial" w:hAnsi="Arial" w:cs="Arial"/>
          <w:sz w:val="22"/>
        </w:rPr>
        <w:t>4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</w:t>
      </w:r>
      <w:r w:rsidRPr="009A50B9">
        <w:rPr>
          <w:rFonts w:ascii="Arial" w:hAnsi="Arial" w:cs="Arial"/>
          <w:sz w:val="22"/>
        </w:rPr>
        <w:lastRenderedPageBreak/>
        <w:t xml:space="preserve">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3446FF" w:rsidRDefault="003446FF" w:rsidP="003446F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3446FF" w:rsidRDefault="003446FF" w:rsidP="003446FF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Realizace díla</w:t>
      </w:r>
      <w:r w:rsidR="00864FC5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resp. jednotlivých úseků</w:t>
      </w:r>
      <w:r w:rsidR="00864FC5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bude provedena v období jedné stavební sezóny. Předpokládá se současná realizace jednotlivých stavebních úseků. Práce budou probíhat za provozu – bude umožněn provoz řízený semafory pro osobní vozidla a autobusovou dopravu. Nákladní doprava bude odkloněna na objízdnou trasu. </w:t>
      </w:r>
    </w:p>
    <w:p w:rsidR="003446FF" w:rsidRDefault="003446FF" w:rsidP="003446FF">
      <w:pPr>
        <w:pStyle w:val="Nzev"/>
        <w:jc w:val="both"/>
        <w:rPr>
          <w:rFonts w:ascii="Arial" w:hAnsi="Arial" w:cs="Arial"/>
          <w:b w:val="0"/>
          <w:sz w:val="22"/>
          <w:szCs w:val="22"/>
          <w:highlight w:val="yellow"/>
          <w:lang w:val="cs-CZ"/>
        </w:rPr>
      </w:pPr>
    </w:p>
    <w:p w:rsidR="003446FF" w:rsidRPr="00097E65" w:rsidRDefault="003446FF" w:rsidP="00712AE4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712AE4">
        <w:rPr>
          <w:rFonts w:ascii="Arial" w:hAnsi="Arial" w:cs="Arial"/>
          <w:sz w:val="22"/>
        </w:rPr>
        <w:t xml:space="preserve">Pro pokládku ložné a obrusné asfaltobetonové vrstvy vozovky na všech úsecích požaduje </w:t>
      </w:r>
      <w:r w:rsidR="00864FC5" w:rsidRPr="00712AE4">
        <w:rPr>
          <w:rFonts w:ascii="Arial" w:hAnsi="Arial" w:cs="Arial"/>
          <w:sz w:val="22"/>
        </w:rPr>
        <w:t xml:space="preserve">objednatel </w:t>
      </w:r>
      <w:r w:rsidRPr="00712AE4">
        <w:rPr>
          <w:rFonts w:ascii="Arial" w:hAnsi="Arial" w:cs="Arial"/>
          <w:sz w:val="22"/>
        </w:rPr>
        <w:t xml:space="preserve">provedení pokládky bez </w:t>
      </w:r>
      <w:r w:rsidR="00864FC5" w:rsidRPr="00712AE4">
        <w:rPr>
          <w:rFonts w:ascii="Arial" w:hAnsi="Arial" w:cs="Arial"/>
          <w:sz w:val="22"/>
        </w:rPr>
        <w:t xml:space="preserve">podélné </w:t>
      </w:r>
      <w:r w:rsidRPr="00712AE4">
        <w:rPr>
          <w:rFonts w:ascii="Arial" w:hAnsi="Arial" w:cs="Arial"/>
          <w:sz w:val="22"/>
        </w:rPr>
        <w:t>pracovní spáry s vyloučením veškeré dopravy.</w:t>
      </w:r>
      <w:r>
        <w:rPr>
          <w:rFonts w:ascii="Arial" w:hAnsi="Arial" w:cs="Arial"/>
          <w:sz w:val="22"/>
        </w:rPr>
        <w:t xml:space="preserve"> </w:t>
      </w:r>
    </w:p>
    <w:p w:rsidR="003446FF" w:rsidRPr="00097E65" w:rsidRDefault="003446FF" w:rsidP="00712AE4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3446FF" w:rsidRPr="00097E65" w:rsidRDefault="003446FF" w:rsidP="00712AE4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097E65">
        <w:rPr>
          <w:rFonts w:ascii="Arial" w:hAnsi="Arial" w:cs="Arial"/>
          <w:sz w:val="22"/>
        </w:rPr>
        <w:t>Zhotovitel stavby bude koordinovat stavební práce spojené s realizací stavebních objektů překládek inženýrských sítí společnosti CETIN a.s..</w:t>
      </w:r>
      <w:r>
        <w:rPr>
          <w:rFonts w:ascii="Arial" w:hAnsi="Arial" w:cs="Arial"/>
          <w:sz w:val="22"/>
        </w:rPr>
        <w:t xml:space="preserve"> </w:t>
      </w:r>
    </w:p>
    <w:p w:rsidR="003446FF" w:rsidRPr="009A50B9" w:rsidRDefault="003446FF" w:rsidP="003446F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3F1CCD" w:rsidP="00C660CE">
      <w:pPr>
        <w:pStyle w:val="Zkladntextodsazen"/>
        <w:tabs>
          <w:tab w:val="left" w:pos="7230"/>
        </w:tabs>
        <w:spacing w:before="48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686589" w:rsidRDefault="00686589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3446FF" w:rsidRPr="002A4814" w:rsidRDefault="003446FF" w:rsidP="003446FF">
      <w:pPr>
        <w:spacing w:line="288" w:lineRule="auto"/>
        <w:rPr>
          <w:rFonts w:ascii="Arial" w:hAnsi="Arial" w:cs="Arial"/>
        </w:rPr>
      </w:pPr>
      <w:r w:rsidRPr="002A4814">
        <w:rPr>
          <w:rFonts w:ascii="Arial" w:hAnsi="Arial" w:cs="Arial"/>
        </w:rPr>
        <w:t>Předpokládaný termín plnění veřejné zakázky je:</w:t>
      </w:r>
      <w:r w:rsidRPr="002A4814">
        <w:rPr>
          <w:rFonts w:ascii="Arial" w:hAnsi="Arial" w:cs="Arial"/>
          <w:vertAlign w:val="superscript"/>
          <w:lang w:eastAsia="x-none"/>
        </w:rPr>
        <w:t xml:space="preserve"> (1)</w:t>
      </w:r>
    </w:p>
    <w:p w:rsidR="003446FF" w:rsidRDefault="003446FF" w:rsidP="003446FF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EB1080"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 w:rsidRPr="00EB1080">
        <w:rPr>
          <w:rFonts w:ascii="Arial" w:hAnsi="Arial" w:cs="Arial"/>
          <w:b w:val="0"/>
          <w:bCs w:val="0"/>
          <w:sz w:val="22"/>
          <w:szCs w:val="22"/>
        </w:rPr>
        <w:tab/>
      </w:r>
      <w:r w:rsidRPr="00EB1080">
        <w:rPr>
          <w:rFonts w:ascii="Arial" w:hAnsi="Arial" w:cs="Arial"/>
          <w:b w:val="0"/>
          <w:bCs w:val="0"/>
          <w:sz w:val="22"/>
          <w:szCs w:val="22"/>
        </w:rPr>
        <w:tab/>
      </w:r>
      <w:r w:rsidRPr="00EB1080">
        <w:rPr>
          <w:rFonts w:ascii="Arial" w:hAnsi="Arial" w:cs="Arial"/>
          <w:b w:val="0"/>
          <w:bCs w:val="0"/>
          <w:sz w:val="22"/>
          <w:szCs w:val="22"/>
        </w:rPr>
        <w:tab/>
      </w:r>
      <w:r w:rsidRPr="00B3242B">
        <w:rPr>
          <w:rFonts w:ascii="Arial" w:hAnsi="Arial" w:cs="Arial"/>
          <w:b w:val="0"/>
          <w:bCs w:val="0"/>
          <w:sz w:val="22"/>
          <w:szCs w:val="22"/>
        </w:rPr>
        <w:t>předpoklad 04/2019</w:t>
      </w:r>
    </w:p>
    <w:p w:rsidR="003446FF" w:rsidRPr="002A4814" w:rsidRDefault="003446FF" w:rsidP="003446FF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2A4814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předpoklad 05/2019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3446FF" w:rsidRDefault="003446FF" w:rsidP="003446FF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3446FF" w:rsidRDefault="003446FF" w:rsidP="003446FF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Zprovoznění stavby (v rozsahu všech částí díla)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31. 10. 2019</w:t>
      </w:r>
    </w:p>
    <w:p w:rsidR="003446FF" w:rsidRDefault="003446FF" w:rsidP="003446FF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3446FF" w:rsidRPr="002A4814" w:rsidRDefault="003446FF" w:rsidP="003446FF">
      <w:pPr>
        <w:spacing w:line="288" w:lineRule="auto"/>
        <w:rPr>
          <w:rFonts w:ascii="Arial" w:hAnsi="Arial" w:cs="Arial"/>
        </w:rPr>
      </w:pPr>
      <w:r w:rsidRPr="002A4814">
        <w:rPr>
          <w:rFonts w:ascii="Arial" w:hAnsi="Arial" w:cs="Arial"/>
        </w:rPr>
        <w:t>Dokončení díla vč. předání kompletní do</w:t>
      </w:r>
      <w:r>
        <w:rPr>
          <w:rFonts w:ascii="Arial" w:hAnsi="Arial" w:cs="Arial"/>
        </w:rPr>
        <w:t>kladové části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82D11">
        <w:rPr>
          <w:rFonts w:ascii="Arial" w:hAnsi="Arial" w:cs="Arial"/>
        </w:rPr>
        <w:t>31. 1. 2020</w:t>
      </w:r>
    </w:p>
    <w:p w:rsidR="003446FF" w:rsidRPr="002A4814" w:rsidRDefault="003446FF" w:rsidP="003446FF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3446FF" w:rsidRPr="00B57C09" w:rsidRDefault="003446FF" w:rsidP="003446FF">
      <w:pPr>
        <w:spacing w:line="288" w:lineRule="auto"/>
        <w:jc w:val="both"/>
        <w:rPr>
          <w:rFonts w:ascii="Arial" w:hAnsi="Arial" w:cs="Arial"/>
        </w:rPr>
      </w:pPr>
      <w:r w:rsidRPr="002A4814">
        <w:rPr>
          <w:rFonts w:ascii="Arial" w:hAnsi="Arial" w:cs="Arial"/>
        </w:rPr>
        <w:t xml:space="preserve">Pozn.: </w:t>
      </w:r>
      <w:r w:rsidRPr="002A4814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tj. od 1. listopadu do 31. března</w:t>
      </w:r>
      <w:r w:rsidRPr="00B57C09">
        <w:rPr>
          <w:rFonts w:ascii="Arial" w:hAnsi="Arial" w:cs="Arial"/>
        </w:rPr>
        <w:t xml:space="preserve"> </w:t>
      </w:r>
      <w:r w:rsidRPr="008B3210">
        <w:rPr>
          <w:rFonts w:ascii="Arial" w:hAnsi="Arial" w:cs="Arial"/>
        </w:rPr>
        <w:t>nebudou na komunikaci prováděny žádné práce, které by bránily provozu a zimní údržbě.</w:t>
      </w:r>
      <w:r w:rsidRPr="00B57C09">
        <w:rPr>
          <w:rFonts w:ascii="Arial" w:hAnsi="Arial" w:cs="Arial"/>
        </w:rPr>
        <w:t xml:space="preserve"> </w:t>
      </w:r>
    </w:p>
    <w:p w:rsidR="003446FF" w:rsidRPr="009C7A79" w:rsidRDefault="003446FF" w:rsidP="003446FF">
      <w:pPr>
        <w:pStyle w:val="Bntext2"/>
        <w:spacing w:line="288" w:lineRule="auto"/>
        <w:ind w:left="0"/>
        <w:rPr>
          <w:rFonts w:cs="Arial"/>
          <w:szCs w:val="22"/>
        </w:rPr>
      </w:pPr>
    </w:p>
    <w:p w:rsidR="003446FF" w:rsidRPr="00AF1BB0" w:rsidRDefault="003446FF" w:rsidP="003446FF">
      <w:pPr>
        <w:spacing w:before="120" w:line="264" w:lineRule="auto"/>
        <w:jc w:val="both"/>
        <w:rPr>
          <w:rFonts w:ascii="Arial" w:hAnsi="Arial" w:cs="Arial"/>
          <w:b/>
          <w:color w:val="00B050"/>
          <w:sz w:val="4"/>
          <w:szCs w:val="4"/>
        </w:rPr>
      </w:pPr>
    </w:p>
    <w:p w:rsidR="003446FF" w:rsidRDefault="003446FF" w:rsidP="003446FF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Pr="00A625BD">
        <w:rPr>
          <w:rFonts w:cs="Arial"/>
          <w:i/>
          <w:szCs w:val="22"/>
        </w:rPr>
        <w:t xml:space="preserve">Termín zahájení plnění veřejné zakázky je </w:t>
      </w:r>
      <w:r w:rsidRPr="008750C2">
        <w:rPr>
          <w:rFonts w:cs="Arial"/>
          <w:i/>
          <w:szCs w:val="22"/>
        </w:rPr>
        <w:t xml:space="preserve">podmíněn </w:t>
      </w:r>
      <w:r>
        <w:rPr>
          <w:rFonts w:cs="Arial"/>
          <w:i/>
          <w:szCs w:val="22"/>
        </w:rPr>
        <w:t xml:space="preserve">uzavřením smlouvy s vybraným dodavatelem. </w:t>
      </w:r>
      <w:r w:rsidRPr="00220A05">
        <w:rPr>
          <w:rFonts w:cs="Arial"/>
          <w:i/>
          <w:spacing w:val="-6"/>
          <w:szCs w:val="22"/>
        </w:rPr>
        <w:t xml:space="preserve">  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3446FF" w:rsidRDefault="003446FF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3.3.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velké dlouhotrvající </w:t>
      </w:r>
      <w:r w:rsidR="00F77E11"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</w:p>
    <w:p w:rsidR="00F77E11" w:rsidRPr="009A50B9" w:rsidRDefault="00F77E11" w:rsidP="00367984">
      <w:pPr>
        <w:pStyle w:val="bntext"/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F77E11" w:rsidRPr="004C4C39" w:rsidRDefault="00F77E11" w:rsidP="00C660CE">
      <w:pPr>
        <w:pStyle w:val="Zkladntextodsazen"/>
        <w:spacing w:before="48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</w:rPr>
        <w:t xml:space="preserve"> 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</w:t>
      </w:r>
      <w:r w:rsidR="00627B17" w:rsidRPr="00437D06">
        <w:rPr>
          <w:rFonts w:ascii="Arial" w:hAnsi="Arial" w:cs="Arial"/>
          <w:b/>
          <w:sz w:val="22"/>
        </w:rPr>
        <w:t>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</w:t>
      </w:r>
      <w:r w:rsidRPr="009A50B9">
        <w:rPr>
          <w:rFonts w:ascii="Arial" w:hAnsi="Arial" w:cs="Arial"/>
          <w:sz w:val="22"/>
        </w:rPr>
        <w:lastRenderedPageBreak/>
        <w:t>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EC678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>v</w:t>
      </w:r>
      <w:r w:rsidR="00F77E11" w:rsidRPr="009A50B9">
        <w:t xml:space="preserve">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 </w:t>
      </w:r>
      <w:r w:rsidR="00413889" w:rsidRPr="005F468D">
        <w:t>– SP</w:t>
      </w:r>
      <w:r w:rsidR="0034461A">
        <w:t>K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5B2A4A" w:rsidRDefault="00E82DEF" w:rsidP="005B2A4A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5B2A4A">
        <w:rPr>
          <w:rFonts w:ascii="Arial" w:hAnsi="Arial" w:cs="Arial"/>
          <w:bCs/>
          <w:sz w:val="22"/>
        </w:rPr>
        <w:t xml:space="preserve"> „</w:t>
      </w:r>
      <w:r w:rsidR="00713F7F" w:rsidRPr="005B2A4A">
        <w:rPr>
          <w:rFonts w:ascii="Arial" w:hAnsi="Arial" w:cs="Arial"/>
          <w:bCs/>
          <w:sz w:val="22"/>
        </w:rPr>
        <w:t>II/602 hr. kraje – Pelhřimov, 8. a 9. stavba</w:t>
      </w:r>
      <w:r w:rsidRPr="005B2A4A">
        <w:rPr>
          <w:rFonts w:ascii="Arial" w:hAnsi="Arial" w:cs="Arial"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 xml:space="preserve">a </w:t>
      </w:r>
      <w:r w:rsidRPr="00DB720E">
        <w:rPr>
          <w:rFonts w:ascii="Arial" w:hAnsi="Arial" w:cs="Arial"/>
          <w:bCs/>
          <w:sz w:val="22"/>
        </w:rPr>
        <w:t>registrační číslo projektu</w:t>
      </w:r>
      <w:r w:rsidR="00DB720E">
        <w:rPr>
          <w:rFonts w:ascii="Arial" w:hAnsi="Arial" w:cs="Arial"/>
          <w:bCs/>
          <w:sz w:val="22"/>
        </w:rPr>
        <w:t xml:space="preserve"> </w:t>
      </w:r>
      <w:r w:rsidR="00DB720E" w:rsidRPr="00DB720E">
        <w:rPr>
          <w:rFonts w:ascii="Arial" w:hAnsi="Arial" w:cs="Arial"/>
          <w:bCs/>
          <w:sz w:val="22"/>
        </w:rPr>
        <w:t>CZ.06.1.42/0.0/0.0/17_082/0010595</w:t>
      </w:r>
      <w:r w:rsidR="006C2392">
        <w:rPr>
          <w:rFonts w:ascii="Arial" w:hAnsi="Arial" w:cs="Arial"/>
          <w:bCs/>
          <w:sz w:val="22"/>
        </w:rPr>
        <w:t>.</w:t>
      </w:r>
      <w:r w:rsidR="00340FCB" w:rsidRPr="005B2A4A">
        <w:rPr>
          <w:rFonts w:ascii="Arial" w:hAnsi="Arial" w:cs="Arial"/>
          <w:bCs/>
          <w:sz w:val="22"/>
        </w:rPr>
        <w:t xml:space="preserve"> 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A1E31" w:rsidRDefault="00AA1E31" w:rsidP="00AA1E31">
      <w:pPr>
        <w:pStyle w:val="Odstavecseseznamem"/>
        <w:rPr>
          <w:rFonts w:ascii="Arial" w:hAnsi="Arial" w:cs="Arial"/>
          <w:bCs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Zjišťovací protokol a soupis provedených prací budou pro každý úsek vyhotoveny a odsouhlaseny zvlášť.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>, p.o.</w:t>
      </w:r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90% ceny za provedení díla dle článku 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daňového řádu,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F77E11" w:rsidRPr="009A50B9" w:rsidRDefault="00F77E11" w:rsidP="00C660CE">
      <w:pPr>
        <w:spacing w:before="48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F77E11" w:rsidRPr="00C660CE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C660CE" w:rsidRPr="000647E9" w:rsidRDefault="00C660CE" w:rsidP="00C660C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="00B7344C">
        <w:rPr>
          <w:rFonts w:ascii="Arial" w:hAnsi="Arial" w:cs="Arial"/>
          <w:sz w:val="22"/>
        </w:rPr>
        <w:t>dokumentaci všech</w:t>
      </w:r>
      <w:r w:rsidRPr="00BB7658">
        <w:rPr>
          <w:rFonts w:ascii="Arial" w:hAnsi="Arial" w:cs="Arial"/>
          <w:sz w:val="22"/>
        </w:rPr>
        <w:t xml:space="preserve"> úseků stavby ve 2 vyhotoveních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Default="00AC7660" w:rsidP="00AC7660">
      <w:pPr>
        <w:pStyle w:val="Odstavecseseznamem"/>
        <w:rPr>
          <w:rFonts w:ascii="Arial" w:hAnsi="Arial" w:cs="Arial"/>
        </w:rPr>
      </w:pPr>
    </w:p>
    <w:p w:rsidR="00AC7660" w:rsidRPr="00AC7660" w:rsidRDefault="00AC7660" w:rsidP="00AC7660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AC7660">
        <w:rPr>
          <w:rFonts w:ascii="Arial" w:hAnsi="Arial" w:cs="Arial"/>
          <w:spacing w:val="-4"/>
          <w:sz w:val="22"/>
        </w:rPr>
        <w:t>Staveništěm</w:t>
      </w:r>
      <w:r w:rsidR="00B7344C">
        <w:rPr>
          <w:rFonts w:ascii="Arial" w:hAnsi="Arial" w:cs="Arial"/>
          <w:spacing w:val="-4"/>
          <w:sz w:val="22"/>
        </w:rPr>
        <w:t xml:space="preserve"> se rozumí obvody stavenišť všech</w:t>
      </w:r>
      <w:r w:rsidRPr="00AC7660">
        <w:rPr>
          <w:rFonts w:ascii="Arial" w:hAnsi="Arial" w:cs="Arial"/>
          <w:spacing w:val="-4"/>
          <w:sz w:val="22"/>
        </w:rPr>
        <w:t xml:space="preserve"> úseků, které jsou vymezeny příslušnou projektovou</w:t>
      </w:r>
      <w:r w:rsidRPr="00AC7660">
        <w:rPr>
          <w:rFonts w:ascii="Arial" w:hAnsi="Arial" w:cs="Arial"/>
          <w:sz w:val="22"/>
        </w:rPr>
        <w:t xml:space="preserve"> dokumentací stavby.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 xml:space="preserve">Zhotovitel je povinen vést po celou dobu provádění díla </w:t>
      </w:r>
      <w:r w:rsidR="00C1667C" w:rsidRPr="00C1667C">
        <w:rPr>
          <w:rFonts w:ascii="Arial" w:hAnsi="Arial" w:cs="Arial"/>
          <w:sz w:val="22"/>
        </w:rPr>
        <w:t xml:space="preserve">pro každý úsek zvlášť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9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D763DB" w:rsidRPr="00035C9A">
        <w:rPr>
          <w:rFonts w:ascii="Arial" w:hAnsi="Arial" w:cs="Arial"/>
          <w:spacing w:val="-6"/>
          <w:sz w:val="22"/>
        </w:rPr>
        <w:t xml:space="preserve"> </w:t>
      </w:r>
      <w:r w:rsidR="00C1667C">
        <w:rPr>
          <w:rFonts w:ascii="Arial" w:hAnsi="Arial" w:cs="Arial"/>
          <w:spacing w:val="-6"/>
          <w:sz w:val="22"/>
        </w:rPr>
        <w:t xml:space="preserve">  </w:t>
      </w:r>
      <w:r w:rsidR="00D763DB" w:rsidRPr="00035C9A">
        <w:rPr>
          <w:rFonts w:ascii="Arial" w:hAnsi="Arial" w:cs="Arial"/>
          <w:spacing w:val="-6"/>
          <w:sz w:val="22"/>
        </w:rPr>
        <w:t>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</w:t>
      </w:r>
      <w:r w:rsidR="00433DCF">
        <w:rPr>
          <w:rFonts w:ascii="Arial" w:hAnsi="Arial" w:cs="Arial"/>
          <w:spacing w:val="6"/>
          <w:sz w:val="22"/>
        </w:rPr>
        <w:t>ch</w:t>
      </w:r>
      <w:r w:rsidRPr="00035C9A">
        <w:rPr>
          <w:rFonts w:ascii="Arial" w:hAnsi="Arial" w:cs="Arial"/>
          <w:spacing w:val="6"/>
          <w:sz w:val="22"/>
        </w:rPr>
        <w:t xml:space="preserve"> deník</w:t>
      </w:r>
      <w:r w:rsidR="00433DCF">
        <w:rPr>
          <w:rFonts w:ascii="Arial" w:hAnsi="Arial" w:cs="Arial"/>
          <w:spacing w:val="6"/>
          <w:sz w:val="22"/>
        </w:rPr>
        <w:t>ů</w:t>
      </w:r>
      <w:r w:rsidRPr="00035C9A">
        <w:rPr>
          <w:rFonts w:ascii="Arial" w:hAnsi="Arial" w:cs="Arial"/>
          <w:spacing w:val="6"/>
          <w:sz w:val="22"/>
        </w:rPr>
        <w:t xml:space="preserve">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</w:t>
      </w:r>
      <w:r w:rsidR="00433DCF">
        <w:rPr>
          <w:rFonts w:ascii="Arial" w:hAnsi="Arial" w:cs="Arial"/>
          <w:sz w:val="22"/>
        </w:rPr>
        <w:t>ou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-4"/>
          <w:sz w:val="22"/>
        </w:rPr>
        <w:t>stavební deník</w:t>
      </w:r>
      <w:r w:rsidR="00433DCF">
        <w:rPr>
          <w:rFonts w:ascii="Arial" w:hAnsi="Arial" w:cs="Arial"/>
          <w:spacing w:val="-4"/>
          <w:sz w:val="22"/>
        </w:rPr>
        <w:t>y</w:t>
      </w:r>
      <w:r w:rsidRPr="00035C9A">
        <w:rPr>
          <w:rFonts w:ascii="Arial" w:hAnsi="Arial" w:cs="Arial"/>
          <w:spacing w:val="-4"/>
          <w:sz w:val="22"/>
        </w:rPr>
        <w:t xml:space="preserve"> trvale přístupn</w:t>
      </w:r>
      <w:r w:rsidR="00433DCF">
        <w:rPr>
          <w:rFonts w:ascii="Arial" w:hAnsi="Arial" w:cs="Arial"/>
          <w:spacing w:val="-4"/>
          <w:sz w:val="22"/>
        </w:rPr>
        <w:t>é</w:t>
      </w:r>
      <w:r w:rsidRPr="00035C9A">
        <w:rPr>
          <w:rFonts w:ascii="Arial" w:hAnsi="Arial" w:cs="Arial"/>
          <w:spacing w:val="-4"/>
          <w:sz w:val="22"/>
        </w:rPr>
        <w:t xml:space="preserve">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</w:t>
      </w:r>
      <w:r w:rsidR="00433DCF">
        <w:rPr>
          <w:rFonts w:ascii="Arial" w:hAnsi="Arial" w:cs="Arial"/>
          <w:spacing w:val="6"/>
          <w:sz w:val="22"/>
        </w:rPr>
        <w:t>ů</w:t>
      </w:r>
      <w:r w:rsidRPr="00035C9A">
        <w:rPr>
          <w:rFonts w:ascii="Arial" w:hAnsi="Arial" w:cs="Arial"/>
          <w:spacing w:val="6"/>
          <w:sz w:val="22"/>
        </w:rPr>
        <w:t xml:space="preserve">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předání a převzetí stavby. Ve stavební</w:t>
      </w:r>
      <w:r w:rsidR="00433DCF">
        <w:rPr>
          <w:rFonts w:ascii="Arial" w:hAnsi="Arial" w:cs="Arial"/>
          <w:sz w:val="22"/>
        </w:rPr>
        <w:t>ch</w:t>
      </w:r>
      <w:r w:rsidRPr="009A50B9">
        <w:rPr>
          <w:rFonts w:ascii="Arial" w:hAnsi="Arial" w:cs="Arial"/>
          <w:sz w:val="22"/>
        </w:rPr>
        <w:t xml:space="preserve"> deník</w:t>
      </w:r>
      <w:r w:rsidR="00433DCF">
        <w:rPr>
          <w:rFonts w:ascii="Arial" w:hAnsi="Arial" w:cs="Arial"/>
          <w:sz w:val="22"/>
        </w:rPr>
        <w:t>ách</w:t>
      </w:r>
      <w:r w:rsidRPr="009A50B9">
        <w:rPr>
          <w:rFonts w:ascii="Arial" w:hAnsi="Arial" w:cs="Arial"/>
          <w:sz w:val="22"/>
        </w:rPr>
        <w:t xml:space="preserve">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</w:t>
      </w:r>
      <w:r w:rsidR="00433DCF">
        <w:rPr>
          <w:rFonts w:ascii="Arial" w:hAnsi="Arial" w:cs="Arial"/>
          <w:spacing w:val="-2"/>
          <w:sz w:val="22"/>
        </w:rPr>
        <w:t>ch deníků</w:t>
      </w:r>
      <w:r w:rsidRPr="00104194">
        <w:rPr>
          <w:rFonts w:ascii="Arial" w:hAnsi="Arial" w:cs="Arial"/>
          <w:spacing w:val="-2"/>
          <w:sz w:val="22"/>
        </w:rPr>
        <w:t xml:space="preserve">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134BCE" w:rsidRDefault="00F77E11" w:rsidP="00134BCE">
      <w:pPr>
        <w:pStyle w:val="Zkladntextodsazen21"/>
        <w:tabs>
          <w:tab w:val="left" w:pos="2835"/>
        </w:tabs>
        <w:ind w:left="2835" w:hanging="2835"/>
        <w:rPr>
          <w:rFonts w:ascii="Arial" w:eastAsia="MS Mincho" w:hAnsi="Arial" w:cs="Arial"/>
          <w:spacing w:val="-4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Pr="001C74E5">
        <w:rPr>
          <w:rFonts w:ascii="Arial" w:hAnsi="Arial" w:cs="Arial"/>
          <w:sz w:val="22"/>
        </w:rPr>
        <w:tab/>
      </w:r>
      <w:r w:rsidR="00713F7F">
        <w:rPr>
          <w:rFonts w:ascii="Arial" w:eastAsia="MS Mincho" w:hAnsi="Arial" w:cs="Arial"/>
          <w:spacing w:val="-4"/>
          <w:sz w:val="22"/>
        </w:rPr>
        <w:t xml:space="preserve">Sweco Hydroprojekt a.s., se sídlem: </w:t>
      </w:r>
      <w:r w:rsidR="00713F7F" w:rsidRPr="00B5431D">
        <w:rPr>
          <w:rFonts w:ascii="Arial" w:eastAsia="MS Mincho" w:hAnsi="Arial" w:cs="Arial"/>
          <w:spacing w:val="-4"/>
          <w:sz w:val="22"/>
        </w:rPr>
        <w:t>Praha 4, Táborská 31, PSČ 14016</w:t>
      </w:r>
      <w:r w:rsidR="00713F7F">
        <w:rPr>
          <w:rFonts w:ascii="Arial" w:eastAsia="MS Mincho" w:hAnsi="Arial" w:cs="Arial"/>
          <w:spacing w:val="-4"/>
          <w:sz w:val="22"/>
        </w:rPr>
        <w:t xml:space="preserve">, IČO: </w:t>
      </w:r>
      <w:r w:rsidR="00713F7F" w:rsidRPr="00B5431D">
        <w:rPr>
          <w:rFonts w:ascii="Arial" w:eastAsia="MS Mincho" w:hAnsi="Arial" w:cs="Arial"/>
          <w:spacing w:val="-4"/>
          <w:sz w:val="22"/>
        </w:rPr>
        <w:t>26475081</w:t>
      </w:r>
    </w:p>
    <w:p w:rsidR="00713F7F" w:rsidRDefault="00713F7F" w:rsidP="00134BCE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  <w:r>
        <w:rPr>
          <w:rFonts w:ascii="Arial" w:eastAsia="MS Mincho" w:hAnsi="Arial" w:cs="Arial"/>
          <w:spacing w:val="-4"/>
          <w:sz w:val="22"/>
        </w:rPr>
        <w:tab/>
      </w:r>
      <w:r>
        <w:rPr>
          <w:rFonts w:ascii="Arial" w:eastAsia="MS Mincho" w:hAnsi="Arial" w:cs="Arial"/>
          <w:spacing w:val="-4"/>
          <w:sz w:val="22"/>
        </w:rPr>
        <w:tab/>
      </w:r>
      <w:r w:rsidRPr="00B5431D">
        <w:rPr>
          <w:rFonts w:ascii="Arial" w:eastAsia="MS Mincho" w:hAnsi="Arial" w:cs="Arial"/>
          <w:spacing w:val="-4"/>
          <w:sz w:val="22"/>
        </w:rPr>
        <w:t>HBH Projekt spol. s r.o.</w:t>
      </w:r>
      <w:r>
        <w:rPr>
          <w:rFonts w:ascii="Arial" w:eastAsia="MS Mincho" w:hAnsi="Arial" w:cs="Arial"/>
          <w:spacing w:val="-4"/>
          <w:sz w:val="22"/>
        </w:rPr>
        <w:t xml:space="preserve">, se sídlem: </w:t>
      </w:r>
      <w:r w:rsidRPr="00B5431D">
        <w:rPr>
          <w:rFonts w:ascii="Arial" w:eastAsia="MS Mincho" w:hAnsi="Arial" w:cs="Arial"/>
          <w:spacing w:val="-4"/>
          <w:sz w:val="22"/>
        </w:rPr>
        <w:t>Kabátníkova 216/5, 602 00 Brno</w:t>
      </w:r>
      <w:r>
        <w:rPr>
          <w:rFonts w:ascii="Arial" w:eastAsia="MS Mincho" w:hAnsi="Arial" w:cs="Arial"/>
          <w:spacing w:val="-4"/>
          <w:sz w:val="22"/>
        </w:rPr>
        <w:t xml:space="preserve"> - Ponava, </w:t>
      </w:r>
      <w:r w:rsidRPr="00B5431D">
        <w:rPr>
          <w:rFonts w:ascii="Arial" w:eastAsia="MS Mincho" w:hAnsi="Arial" w:cs="Arial"/>
          <w:spacing w:val="-4"/>
          <w:sz w:val="22"/>
        </w:rPr>
        <w:t>IČO:</w:t>
      </w:r>
      <w:r>
        <w:rPr>
          <w:rFonts w:ascii="Arial" w:eastAsia="MS Mincho" w:hAnsi="Arial" w:cs="Arial"/>
          <w:spacing w:val="-4"/>
          <w:sz w:val="22"/>
        </w:rPr>
        <w:t xml:space="preserve"> </w:t>
      </w:r>
      <w:r w:rsidRPr="00B5431D">
        <w:rPr>
          <w:rFonts w:ascii="Arial" w:eastAsia="MS Mincho" w:hAnsi="Arial" w:cs="Arial"/>
          <w:spacing w:val="-4"/>
          <w:sz w:val="22"/>
        </w:rPr>
        <w:t>44961944</w:t>
      </w:r>
    </w:p>
    <w:p w:rsidR="00134BCE" w:rsidRPr="0000567B" w:rsidRDefault="00134BCE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6336D" w:rsidRDefault="0016336D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</w:t>
      </w:r>
      <w:r w:rsidR="008F101E">
        <w:t>y</w:t>
      </w:r>
      <w:r w:rsidRPr="009A50B9"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</w:t>
      </w:r>
      <w:r w:rsidR="008F101E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 xml:space="preserve"> stavební</w:t>
      </w:r>
      <w:r w:rsidR="008F101E">
        <w:rPr>
          <w:rFonts w:ascii="Arial" w:hAnsi="Arial" w:cs="Arial"/>
          <w:sz w:val="22"/>
        </w:rPr>
        <w:t>ch</w:t>
      </w:r>
      <w:r w:rsidRPr="009A50B9">
        <w:rPr>
          <w:rFonts w:ascii="Arial" w:hAnsi="Arial" w:cs="Arial"/>
          <w:sz w:val="22"/>
        </w:rPr>
        <w:t xml:space="preserve"> deník</w:t>
      </w:r>
      <w:r w:rsidR="008F101E">
        <w:rPr>
          <w:rFonts w:ascii="Arial" w:hAnsi="Arial" w:cs="Arial"/>
          <w:sz w:val="22"/>
        </w:rPr>
        <w:t>ů</w:t>
      </w:r>
      <w:r w:rsidRPr="009A50B9">
        <w:rPr>
          <w:rFonts w:ascii="Arial" w:hAnsi="Arial" w:cs="Arial"/>
          <w:sz w:val="22"/>
        </w:rPr>
        <w:t xml:space="preserve">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</w:t>
      </w:r>
      <w:r w:rsidR="0030122B">
        <w:rPr>
          <w:rFonts w:ascii="Arial" w:hAnsi="Arial" w:cs="Arial"/>
          <w:sz w:val="22"/>
        </w:rPr>
        <w:t>ch</w:t>
      </w:r>
      <w:r w:rsidR="009328CF" w:rsidRPr="009A50B9">
        <w:rPr>
          <w:rFonts w:ascii="Arial" w:hAnsi="Arial" w:cs="Arial"/>
          <w:sz w:val="22"/>
        </w:rPr>
        <w:t xml:space="preserve"> deník</w:t>
      </w:r>
      <w:r w:rsidR="0030122B">
        <w:rPr>
          <w:rFonts w:ascii="Arial" w:hAnsi="Arial" w:cs="Arial"/>
          <w:sz w:val="22"/>
        </w:rPr>
        <w:t>ách</w:t>
      </w:r>
      <w:r w:rsidR="009328CF" w:rsidRPr="009A50B9">
        <w:rPr>
          <w:rFonts w:ascii="Arial" w:hAnsi="Arial" w:cs="Arial"/>
          <w:sz w:val="22"/>
        </w:rPr>
        <w:t>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EB3653" w:rsidRPr="00B3242B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B3242B">
        <w:rPr>
          <w:rFonts w:ascii="Arial" w:hAnsi="Arial" w:cs="Arial"/>
          <w:sz w:val="22"/>
        </w:rPr>
        <w:t>DSP</w:t>
      </w:r>
      <w:r w:rsidR="00392AC5" w:rsidRPr="00B3242B">
        <w:rPr>
          <w:rFonts w:ascii="Arial" w:hAnsi="Arial" w:cs="Arial"/>
          <w:sz w:val="22"/>
        </w:rPr>
        <w:t>S</w:t>
      </w:r>
      <w:r w:rsidRPr="00712AE4">
        <w:rPr>
          <w:rFonts w:ascii="Arial" w:hAnsi="Arial" w:cs="Arial"/>
          <w:sz w:val="22"/>
        </w:rPr>
        <w:t xml:space="preserve"> bude vypracována v souladu a</w:t>
      </w:r>
      <w:r w:rsidR="00193FEE" w:rsidRPr="00712AE4">
        <w:rPr>
          <w:rFonts w:ascii="Arial" w:hAnsi="Arial" w:cs="Arial"/>
          <w:sz w:val="22"/>
        </w:rPr>
        <w:t> </w:t>
      </w:r>
      <w:r w:rsidRPr="00712AE4">
        <w:rPr>
          <w:rFonts w:ascii="Arial" w:hAnsi="Arial" w:cs="Arial"/>
          <w:sz w:val="22"/>
        </w:rPr>
        <w:t xml:space="preserve">náležitostech dle </w:t>
      </w:r>
      <w:r w:rsidR="000E59ED" w:rsidRPr="00712AE4">
        <w:rPr>
          <w:rFonts w:ascii="Arial" w:hAnsi="Arial" w:cs="Arial"/>
          <w:sz w:val="22"/>
        </w:rPr>
        <w:t>Směrnice pro dokumentaci staveb pozemních komunikací schválené MD – OPK, č. j. 158/20</w:t>
      </w:r>
      <w:r w:rsidR="00386E02" w:rsidRPr="00712AE4">
        <w:rPr>
          <w:rFonts w:ascii="Arial" w:hAnsi="Arial" w:cs="Arial"/>
          <w:sz w:val="22"/>
        </w:rPr>
        <w:t xml:space="preserve">17-120-TN/1 </w:t>
      </w:r>
      <w:r w:rsidR="000E59ED" w:rsidRPr="00712AE4">
        <w:rPr>
          <w:rFonts w:ascii="Arial" w:hAnsi="Arial" w:cs="Arial"/>
          <w:sz w:val="22"/>
        </w:rPr>
        <w:t>s účinností od</w:t>
      </w:r>
      <w:r w:rsidR="00386E02" w:rsidRPr="00712AE4">
        <w:rPr>
          <w:rFonts w:ascii="Arial" w:hAnsi="Arial" w:cs="Arial"/>
          <w:sz w:val="22"/>
        </w:rPr>
        <w:t xml:space="preserve"> 14. srpna 2017</w:t>
      </w:r>
      <w:r w:rsidRPr="00B3242B">
        <w:rPr>
          <w:rFonts w:ascii="Arial" w:hAnsi="Arial" w:cs="Arial"/>
          <w:sz w:val="22"/>
        </w:rPr>
        <w:t xml:space="preserve">, </w:t>
      </w:r>
      <w:r w:rsidRPr="00B3242B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B3242B">
        <w:rPr>
          <w:rFonts w:ascii="Arial" w:hAnsi="Arial" w:cs="Arial"/>
          <w:spacing w:val="-6"/>
          <w:sz w:val="22"/>
        </w:rPr>
        <w:t>projektová</w:t>
      </w:r>
      <w:r w:rsidR="00782321" w:rsidRPr="00B3242B">
        <w:rPr>
          <w:rFonts w:ascii="Arial" w:hAnsi="Arial" w:cs="Arial"/>
          <w:sz w:val="22"/>
        </w:rPr>
        <w:t xml:space="preserve"> </w:t>
      </w:r>
      <w:r w:rsidR="00782321" w:rsidRPr="00B3242B">
        <w:rPr>
          <w:rFonts w:ascii="Arial" w:hAnsi="Arial" w:cs="Arial"/>
          <w:spacing w:val="-4"/>
          <w:sz w:val="22"/>
        </w:rPr>
        <w:t>dokumentace pro provedení stavby (</w:t>
      </w:r>
      <w:r w:rsidR="008C42AD" w:rsidRPr="00B3242B">
        <w:rPr>
          <w:rFonts w:ascii="Arial" w:hAnsi="Arial" w:cs="Arial"/>
          <w:spacing w:val="-4"/>
          <w:sz w:val="22"/>
        </w:rPr>
        <w:t>PDPS</w:t>
      </w:r>
      <w:r w:rsidR="00782321" w:rsidRPr="00B3242B">
        <w:rPr>
          <w:rFonts w:ascii="Arial" w:hAnsi="Arial" w:cs="Arial"/>
          <w:spacing w:val="-4"/>
          <w:sz w:val="22"/>
        </w:rPr>
        <w:t>)</w:t>
      </w:r>
      <w:r w:rsidR="008C42AD" w:rsidRPr="00B3242B">
        <w:rPr>
          <w:rFonts w:ascii="Arial" w:hAnsi="Arial" w:cs="Arial"/>
          <w:spacing w:val="-4"/>
          <w:sz w:val="22"/>
        </w:rPr>
        <w:t xml:space="preserve"> a RDS, </w:t>
      </w:r>
      <w:r w:rsidRPr="00B3242B">
        <w:rPr>
          <w:rFonts w:ascii="Arial" w:hAnsi="Arial" w:cs="Arial"/>
          <w:spacing w:val="-4"/>
          <w:sz w:val="22"/>
        </w:rPr>
        <w:t>geodetické zaměření provedených prací, případně</w:t>
      </w:r>
      <w:r w:rsidRPr="00B3242B">
        <w:rPr>
          <w:rFonts w:ascii="Arial" w:hAnsi="Arial" w:cs="Arial"/>
          <w:sz w:val="22"/>
        </w:rPr>
        <w:t xml:space="preserve"> </w:t>
      </w:r>
      <w:r w:rsidRPr="00B3242B">
        <w:rPr>
          <w:rFonts w:ascii="Arial" w:hAnsi="Arial" w:cs="Arial"/>
          <w:spacing w:val="2"/>
          <w:sz w:val="22"/>
        </w:rPr>
        <w:t>další požadavky objednatele. DSPS bude předána objednateli v</w:t>
      </w:r>
      <w:r w:rsidR="00493C65" w:rsidRPr="00B3242B">
        <w:rPr>
          <w:rFonts w:ascii="Arial" w:hAnsi="Arial" w:cs="Arial"/>
          <w:spacing w:val="2"/>
          <w:sz w:val="22"/>
        </w:rPr>
        <w:t xml:space="preserve">e </w:t>
      </w:r>
      <w:r w:rsidR="00052356" w:rsidRPr="00B3242B">
        <w:rPr>
          <w:rFonts w:ascii="Arial" w:hAnsi="Arial" w:cs="Arial"/>
          <w:spacing w:val="2"/>
          <w:sz w:val="22"/>
        </w:rPr>
        <w:t>4</w:t>
      </w:r>
      <w:r w:rsidR="00493C65" w:rsidRPr="00B3242B">
        <w:rPr>
          <w:rFonts w:ascii="Arial" w:hAnsi="Arial" w:cs="Arial"/>
          <w:spacing w:val="2"/>
          <w:sz w:val="22"/>
        </w:rPr>
        <w:t xml:space="preserve"> </w:t>
      </w:r>
      <w:r w:rsidRPr="00B3242B">
        <w:rPr>
          <w:rFonts w:ascii="Arial" w:hAnsi="Arial" w:cs="Arial"/>
          <w:spacing w:val="2"/>
          <w:sz w:val="22"/>
        </w:rPr>
        <w:t>vyhotoveních v </w:t>
      </w:r>
      <w:r w:rsidR="00300B42" w:rsidRPr="00B3242B">
        <w:rPr>
          <w:rFonts w:ascii="Arial" w:hAnsi="Arial" w:cs="Arial"/>
          <w:spacing w:val="2"/>
          <w:sz w:val="22"/>
        </w:rPr>
        <w:t>písemné</w:t>
      </w:r>
      <w:r w:rsidRPr="00B3242B">
        <w:rPr>
          <w:rFonts w:ascii="Arial" w:hAnsi="Arial" w:cs="Arial"/>
          <w:spacing w:val="2"/>
          <w:sz w:val="22"/>
        </w:rPr>
        <w:t xml:space="preserve"> podobě</w:t>
      </w:r>
      <w:r w:rsidRPr="00B3242B">
        <w:rPr>
          <w:rFonts w:ascii="Arial" w:hAnsi="Arial" w:cs="Arial"/>
          <w:sz w:val="22"/>
        </w:rPr>
        <w:t xml:space="preserve"> a </w:t>
      </w:r>
      <w:r w:rsidR="00F066AF" w:rsidRPr="00B3242B">
        <w:rPr>
          <w:rFonts w:ascii="Arial" w:hAnsi="Arial" w:cs="Arial"/>
          <w:sz w:val="22"/>
        </w:rPr>
        <w:t>4</w:t>
      </w:r>
      <w:r w:rsidR="008C42AD" w:rsidRPr="00B3242B">
        <w:rPr>
          <w:rFonts w:ascii="Arial" w:hAnsi="Arial" w:cs="Arial"/>
          <w:sz w:val="22"/>
        </w:rPr>
        <w:t>x v elektronické podobě (na CD</w:t>
      </w:r>
      <w:r w:rsidR="00E82DEF" w:rsidRPr="00B3242B">
        <w:rPr>
          <w:rFonts w:ascii="Arial" w:hAnsi="Arial" w:cs="Arial"/>
          <w:sz w:val="22"/>
        </w:rPr>
        <w:t>)</w:t>
      </w:r>
      <w:r w:rsidR="00300B42" w:rsidRPr="00B3242B">
        <w:rPr>
          <w:rFonts w:ascii="Arial" w:hAnsi="Arial" w:cs="Arial"/>
          <w:sz w:val="22"/>
        </w:rPr>
        <w:t xml:space="preserve"> ve formátu pdf a otevřeném formátu dwg k zahájení přejímacího řízení při dokončení díla</w:t>
      </w:r>
      <w:r w:rsidR="00BB7F8A" w:rsidRPr="00B3242B">
        <w:rPr>
          <w:rFonts w:ascii="Arial" w:hAnsi="Arial" w:cs="Arial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>eprací ve smyslu odst. 4.8.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technického dozoru 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16336D" w:rsidRDefault="0016336D" w:rsidP="00C660CE">
      <w:pPr>
        <w:spacing w:before="480" w:after="120"/>
        <w:jc w:val="center"/>
        <w:rPr>
          <w:rFonts w:ascii="Arial" w:hAnsi="Arial" w:cs="Arial"/>
          <w:b/>
        </w:rPr>
      </w:pP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 xml:space="preserve">vyzve objednatele k předání a převzetí ukončeného díla </w:t>
      </w:r>
      <w:r w:rsidR="00271BE7" w:rsidRPr="00F67FEC">
        <w:rPr>
          <w:rFonts w:ascii="Arial" w:hAnsi="Arial" w:cs="Arial"/>
          <w:spacing w:val="-6"/>
          <w:sz w:val="22"/>
        </w:rPr>
        <w:t>(tzn. všech tří úseků jako celku)</w:t>
      </w:r>
      <w:r w:rsidR="00271BE7">
        <w:rPr>
          <w:rFonts w:ascii="Arial" w:hAnsi="Arial" w:cs="Arial"/>
          <w:spacing w:val="-6"/>
          <w:sz w:val="22"/>
        </w:rPr>
        <w:t xml:space="preserve"> </w:t>
      </w:r>
      <w:r w:rsidRPr="00F6507F">
        <w:rPr>
          <w:rFonts w:ascii="Arial" w:hAnsi="Arial" w:cs="Arial"/>
          <w:spacing w:val="-6"/>
          <w:sz w:val="22"/>
        </w:rPr>
        <w:t>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863F2" w:rsidRDefault="00F77E11" w:rsidP="006863F2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rPr>
          <w:rFonts w:ascii="Arial" w:hAnsi="Arial" w:cs="Arial"/>
          <w:sz w:val="22"/>
        </w:rPr>
      </w:pPr>
      <w:r w:rsidRPr="006863F2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originál</w:t>
      </w:r>
      <w:r w:rsidR="006863F2">
        <w:rPr>
          <w:szCs w:val="22"/>
        </w:rPr>
        <w:t>y</w:t>
      </w:r>
      <w:r w:rsidRPr="009A50B9">
        <w:rPr>
          <w:szCs w:val="22"/>
        </w:rPr>
        <w:t xml:space="preserve"> stavební</w:t>
      </w:r>
      <w:r w:rsidR="006863F2">
        <w:rPr>
          <w:szCs w:val="22"/>
        </w:rPr>
        <w:t>ch</w:t>
      </w:r>
      <w:r w:rsidRPr="009A50B9">
        <w:rPr>
          <w:szCs w:val="22"/>
        </w:rPr>
        <w:t xml:space="preserve"> deník</w:t>
      </w:r>
      <w:r w:rsidR="006863F2">
        <w:rPr>
          <w:szCs w:val="22"/>
        </w:rPr>
        <w:t>ů</w:t>
      </w:r>
      <w:r w:rsidRPr="009A50B9">
        <w:rPr>
          <w:szCs w:val="22"/>
        </w:rPr>
        <w:t xml:space="preserve"> </w:t>
      </w:r>
      <w:r w:rsidR="006863F2">
        <w:rPr>
          <w:szCs w:val="22"/>
        </w:rPr>
        <w:t>jednotlivých úseků</w:t>
      </w:r>
    </w:p>
    <w:p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</w:t>
      </w:r>
      <w:r w:rsidR="00271BE7">
        <w:rPr>
          <w:szCs w:val="22"/>
        </w:rPr>
        <w:t>ch</w:t>
      </w:r>
      <w:r w:rsidRPr="009A50B9">
        <w:rPr>
          <w:szCs w:val="22"/>
        </w:rPr>
        <w:t xml:space="preserve"> deník</w:t>
      </w:r>
      <w:r w:rsidR="00271BE7">
        <w:rPr>
          <w:szCs w:val="22"/>
        </w:rPr>
        <w:t>ů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EC6788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o odpadech.</w:t>
      </w:r>
    </w:p>
    <w:p w:rsidR="00485B5A" w:rsidRPr="009A50B9" w:rsidRDefault="00EC6788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 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</w:t>
      </w:r>
      <w:r w:rsidR="0030122B">
        <w:rPr>
          <w:rFonts w:cs="Arial"/>
          <w:szCs w:val="22"/>
        </w:rPr>
        <w:t>y</w:t>
      </w:r>
      <w:r w:rsidRPr="00C85592">
        <w:rPr>
          <w:rFonts w:cs="Arial"/>
          <w:szCs w:val="22"/>
        </w:rPr>
        <w:t xml:space="preserve">, závěrečnou zprávu včetně všech protokolů a dokladů, provedené posudky apod.), předá </w:t>
      </w:r>
      <w:r w:rsidR="00851C8B">
        <w:rPr>
          <w:rFonts w:cs="Arial"/>
          <w:szCs w:val="22"/>
        </w:rPr>
        <w:t>zhotovitel</w:t>
      </w:r>
      <w:r w:rsidRPr="00C85592">
        <w:rPr>
          <w:rFonts w:cs="Arial"/>
          <w:szCs w:val="22"/>
        </w:rPr>
        <w:t xml:space="preserve">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</w:t>
      </w:r>
      <w:r w:rsidRPr="009A50B9">
        <w:rPr>
          <w:rFonts w:ascii="Arial" w:hAnsi="Arial" w:cs="Arial"/>
          <w:sz w:val="22"/>
        </w:rPr>
        <w:lastRenderedPageBreak/>
        <w:t>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 w:rsidP="00C660CE">
      <w:pPr>
        <w:tabs>
          <w:tab w:val="center" w:pos="4702"/>
          <w:tab w:val="left" w:pos="6090"/>
        </w:tabs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712AE4" w:rsidRPr="009A50B9" w:rsidRDefault="00712AE4" w:rsidP="00712AE4">
      <w:pPr>
        <w:pStyle w:val="Zkladntextodsazen"/>
        <w:numPr>
          <w:ilvl w:val="1"/>
          <w:numId w:val="14"/>
        </w:numPr>
        <w:suppressAutoHyphens/>
        <w:spacing w:line="264" w:lineRule="auto"/>
        <w:jc w:val="both"/>
        <w:rPr>
          <w:rFonts w:ascii="Arial" w:hAnsi="Arial" w:cs="Arial"/>
          <w:bCs/>
          <w:sz w:val="22"/>
        </w:rPr>
      </w:pPr>
      <w:r w:rsidRPr="00356012">
        <w:rPr>
          <w:rFonts w:ascii="Arial" w:hAnsi="Arial" w:cs="Arial"/>
          <w:spacing w:val="-4"/>
          <w:sz w:val="22"/>
        </w:rPr>
        <w:t>Zhotovitel poskytuje na stavební část díla záruku v délce 60 měsíců. Záruční doba počíná běžet</w:t>
      </w:r>
      <w:r w:rsidRPr="009A50B9">
        <w:rPr>
          <w:rFonts w:ascii="Arial" w:hAnsi="Arial" w:cs="Arial"/>
          <w:sz w:val="22"/>
        </w:rPr>
        <w:t xml:space="preserve"> </w:t>
      </w:r>
      <w:r w:rsidRPr="00356012">
        <w:rPr>
          <w:rFonts w:ascii="Arial" w:hAnsi="Arial" w:cs="Arial"/>
          <w:spacing w:val="-4"/>
          <w:sz w:val="22"/>
        </w:rPr>
        <w:t>dnem předání a převzetí díla ve smyslu čl. 8 této smlouvy po odstranění poslední vady a nedodělku.</w:t>
      </w:r>
    </w:p>
    <w:p w:rsidR="00712AE4" w:rsidRPr="009A50B9" w:rsidRDefault="00712AE4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F77E11" w:rsidRPr="009A50B9" w:rsidRDefault="00F77E11" w:rsidP="00C660CE">
      <w:pPr>
        <w:tabs>
          <w:tab w:val="center" w:pos="4702"/>
          <w:tab w:val="left" w:pos="6090"/>
        </w:tabs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212555" w:rsidRPr="0003662E">
        <w:rPr>
          <w:rFonts w:ascii="Arial" w:hAnsi="Arial" w:cs="Arial"/>
          <w:sz w:val="22"/>
        </w:rPr>
        <w:t>20</w:t>
      </w:r>
      <w:r w:rsidRPr="0003662E">
        <w:rPr>
          <w:rFonts w:ascii="Arial" w:hAnsi="Arial" w:cs="Arial"/>
          <w:sz w:val="22"/>
        </w:rPr>
        <w:t xml:space="preserve"> mil. Kč.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7C34A7" w:rsidRPr="006C2392" w:rsidRDefault="007C34A7" w:rsidP="007C34A7">
      <w:pPr>
        <w:pStyle w:val="Zkladntextodsazen"/>
        <w:spacing w:after="120"/>
        <w:jc w:val="both"/>
        <w:rPr>
          <w:rFonts w:ascii="Arial" w:hAnsi="Arial" w:cs="Arial"/>
          <w:sz w:val="8"/>
          <w:szCs w:val="8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lastRenderedPageBreak/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Objednatel neuhradí fakturu v termínu splatnosti, zavazuje se uhradit úrok z prodlení ve výši stanovené příslušným právním předpisem, nejméně 0,015 % z ceny díla sjednané touto smlouvou za každý den prodlení. </w:t>
      </w:r>
    </w:p>
    <w:p w:rsidR="00711D08" w:rsidRPr="0003662E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  <w:bookmarkStart w:id="1" w:name="_GoBack"/>
    </w:p>
    <w:bookmarkEnd w:id="1"/>
    <w:p w:rsidR="0016336D" w:rsidRPr="009A50B9" w:rsidRDefault="0016336D" w:rsidP="0003662E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Pr="009A50B9" w:rsidRDefault="00FF0841" w:rsidP="00C660CE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F6734F">
        <w:rPr>
          <w:rFonts w:ascii="Arial" w:hAnsi="Arial" w:cs="Arial"/>
        </w:rPr>
        <w:t>2</w:t>
      </w:r>
      <w:r w:rsidR="00212555">
        <w:rPr>
          <w:rFonts w:ascii="Arial" w:hAnsi="Arial" w:cs="Arial"/>
        </w:rPr>
        <w:t xml:space="preserve"> </w:t>
      </w:r>
      <w:r w:rsidR="00F6734F">
        <w:rPr>
          <w:rFonts w:ascii="Arial" w:hAnsi="Arial" w:cs="Arial"/>
        </w:rPr>
        <w:t>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>Bankovní záruku podle bodu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212555">
        <w:rPr>
          <w:rFonts w:ascii="Arial" w:hAnsi="Arial" w:cs="Arial"/>
        </w:rPr>
        <w:t>1 00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</w:t>
      </w:r>
      <w:r w:rsidRPr="00712AE4">
        <w:rPr>
          <w:rFonts w:ascii="Arial" w:hAnsi="Arial" w:cs="Arial"/>
        </w:rPr>
        <w:t>stavební</w:t>
      </w:r>
      <w:r w:rsidRPr="00FE4566">
        <w:rPr>
          <w:rFonts w:ascii="Arial" w:hAnsi="Arial" w:cs="Arial"/>
        </w:rPr>
        <w:t xml:space="preserve">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16336D" w:rsidRPr="009A50B9" w:rsidRDefault="0016336D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A13AD4">
        <w:rPr>
          <w:rFonts w:ascii="Arial" w:hAnsi="Arial" w:cs="Arial"/>
          <w:spacing w:val="2"/>
        </w:rPr>
        <w:lastRenderedPageBreak/>
        <w:t>Bankovní záruku podle bodu 12.3</w:t>
      </w:r>
      <w:r w:rsidR="002557C0" w:rsidRPr="00A13AD4">
        <w:rPr>
          <w:rFonts w:ascii="Arial" w:hAnsi="Arial" w:cs="Arial"/>
          <w:spacing w:val="2"/>
        </w:rPr>
        <w:t>.</w:t>
      </w:r>
      <w:r w:rsidRPr="00A13AD4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9A50B9">
        <w:rPr>
          <w:rFonts w:ascii="Arial" w:hAnsi="Arial" w:cs="Arial"/>
        </w:rPr>
        <w:t xml:space="preserve"> do 14 dnů od podpisu protokolu o předání a převzetí díla. Bankovní záruka za řádné zajištění závazků </w:t>
      </w:r>
      <w:r w:rsidRPr="00F76EA3">
        <w:rPr>
          <w:rFonts w:ascii="Arial" w:hAnsi="Arial" w:cs="Arial"/>
          <w:spacing w:val="-6"/>
        </w:rPr>
        <w:t>zhotovitele bude uvolněna po uplynutí lhůty stanovené v ust. 9.2</w:t>
      </w:r>
      <w:r w:rsidR="002557C0">
        <w:rPr>
          <w:rFonts w:ascii="Arial" w:hAnsi="Arial" w:cs="Arial"/>
          <w:spacing w:val="-6"/>
        </w:rPr>
        <w:t>.</w:t>
      </w:r>
      <w:r w:rsidRPr="00F76EA3">
        <w:rPr>
          <w:rFonts w:ascii="Arial" w:hAnsi="Arial" w:cs="Arial"/>
          <w:spacing w:val="-6"/>
        </w:rPr>
        <w:t xml:space="preserve"> pro stavební část díla, resp. po vypořádání</w:t>
      </w:r>
      <w:r w:rsidRPr="009A50B9">
        <w:rPr>
          <w:rFonts w:ascii="Arial" w:hAnsi="Arial" w:cs="Arial"/>
        </w:rPr>
        <w:t xml:space="preserve"> všech v</w:t>
      </w:r>
      <w:r w:rsidR="00E11B2A" w:rsidRPr="009A50B9">
        <w:rPr>
          <w:rFonts w:ascii="Arial" w:hAnsi="Arial" w:cs="Arial"/>
        </w:rPr>
        <w:t>zájemných závazků a pohledávek.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1B663C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</w:rPr>
        <w:t> </w:t>
      </w:r>
      <w:r w:rsidR="000147A8" w:rsidRPr="009A50B9">
        <w:rPr>
          <w:rFonts w:ascii="Arial" w:hAnsi="Arial" w:cs="Arial"/>
          <w:sz w:val="22"/>
        </w:rPr>
        <w:t>odstoupení</w:t>
      </w:r>
      <w:r w:rsidR="0007118F" w:rsidRPr="009A50B9">
        <w:rPr>
          <w:rFonts w:ascii="Arial" w:hAnsi="Arial" w:cs="Arial"/>
          <w:sz w:val="22"/>
        </w:rPr>
        <w:t>,</w:t>
      </w:r>
      <w:r w:rsidR="000147A8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F77E11" w:rsidRPr="009A50B9" w:rsidRDefault="00F77E11" w:rsidP="001B663C">
      <w:pPr>
        <w:pStyle w:val="Zkladntextodsazen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 xml:space="preserve">skytovat požadované informace    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lastRenderedPageBreak/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Objednatel.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625DC1" w:rsidRDefault="00625DC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6C2392" w:rsidRDefault="006C2392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EC6788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</w:r>
      <w:r w:rsidRPr="00F74F1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Pr="00F74F1B">
        <w:rPr>
          <w:rFonts w:ascii="Arial" w:hAnsi="Arial" w:cs="Arial"/>
          <w:bCs/>
        </w:rPr>
        <w:instrText xml:space="preserve"> FORMTEXT </w:instrText>
      </w:r>
      <w:r w:rsidRPr="00F74F1B">
        <w:rPr>
          <w:rFonts w:ascii="Arial" w:hAnsi="Arial" w:cs="Arial"/>
          <w:bCs/>
        </w:rPr>
      </w:r>
      <w:r w:rsidRPr="00F74F1B">
        <w:rPr>
          <w:rFonts w:ascii="Arial" w:hAnsi="Arial" w:cs="Arial"/>
          <w:bCs/>
        </w:rPr>
        <w:fldChar w:fldCharType="separate"/>
      </w:r>
      <w:r w:rsidR="00854FE2">
        <w:rPr>
          <w:rFonts w:ascii="Arial" w:hAnsi="Arial" w:cs="Arial"/>
          <w:bCs/>
          <w:noProof/>
        </w:rPr>
        <w:t xml:space="preserve">                                             </w:t>
      </w:r>
      <w:r w:rsidRPr="00F74F1B">
        <w:rPr>
          <w:rFonts w:ascii="Arial" w:hAnsi="Arial" w:cs="Arial"/>
          <w:bCs/>
        </w:rPr>
        <w:fldChar w:fldCharType="end"/>
      </w:r>
      <w:r w:rsidRPr="00DC166F">
        <w:rPr>
          <w:rFonts w:ascii="Arial" w:eastAsia="MS Mincho" w:hAnsi="Arial" w:cs="Arial"/>
        </w:rPr>
        <w:t xml:space="preserve">                                             </w:t>
      </w:r>
    </w:p>
    <w:p w:rsidR="004A207C" w:rsidRPr="004C7A72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  <w:r w:rsidRPr="009A50B9">
        <w:rPr>
          <w:rFonts w:ascii="Arial" w:eastAsia="MS Mincho" w:hAnsi="Arial" w:cs="Arial"/>
        </w:rPr>
        <w:tab/>
      </w:r>
    </w:p>
    <w:sectPr w:rsidR="004A207C" w:rsidRPr="004C7A72" w:rsidSect="00F9572C"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1560" w:right="1041" w:bottom="127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42B" w:rsidRDefault="00B3242B">
      <w:r>
        <w:separator/>
      </w:r>
    </w:p>
  </w:endnote>
  <w:endnote w:type="continuationSeparator" w:id="0">
    <w:p w:rsidR="00B3242B" w:rsidRDefault="00B3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2B" w:rsidRDefault="00B3242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22</w:t>
    </w:r>
    <w:r>
      <w:rPr>
        <w:rStyle w:val="slostrnky"/>
      </w:rPr>
      <w:fldChar w:fldCharType="end"/>
    </w:r>
  </w:p>
  <w:p w:rsidR="00B3242B" w:rsidRDefault="00B3242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2B" w:rsidRDefault="00B3242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3662E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3662E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2B" w:rsidRDefault="00B3242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3662E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3662E"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42B" w:rsidRDefault="00B3242B">
      <w:r>
        <w:separator/>
      </w:r>
    </w:p>
  </w:footnote>
  <w:footnote w:type="continuationSeparator" w:id="0">
    <w:p w:rsidR="00B3242B" w:rsidRDefault="00B32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1368C0"/>
    <w:multiLevelType w:val="multilevel"/>
    <w:tmpl w:val="F9806528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2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7"/>
  </w:num>
  <w:num w:numId="14">
    <w:abstractNumId w:val="47"/>
  </w:num>
  <w:num w:numId="15">
    <w:abstractNumId w:val="18"/>
  </w:num>
  <w:num w:numId="16">
    <w:abstractNumId w:val="29"/>
  </w:num>
  <w:num w:numId="17">
    <w:abstractNumId w:val="23"/>
  </w:num>
  <w:num w:numId="18">
    <w:abstractNumId w:val="38"/>
  </w:num>
  <w:num w:numId="19">
    <w:abstractNumId w:val="42"/>
  </w:num>
  <w:num w:numId="20">
    <w:abstractNumId w:val="29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5"/>
  </w:num>
  <w:num w:numId="29">
    <w:abstractNumId w:val="26"/>
  </w:num>
  <w:num w:numId="30">
    <w:abstractNumId w:val="21"/>
  </w:num>
  <w:num w:numId="31">
    <w:abstractNumId w:val="31"/>
  </w:num>
  <w:num w:numId="32">
    <w:abstractNumId w:val="36"/>
  </w:num>
  <w:num w:numId="33">
    <w:abstractNumId w:val="50"/>
  </w:num>
  <w:num w:numId="34">
    <w:abstractNumId w:val="24"/>
  </w:num>
  <w:num w:numId="35">
    <w:abstractNumId w:val="33"/>
  </w:num>
  <w:num w:numId="36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C9A"/>
    <w:rsid w:val="0003662E"/>
    <w:rsid w:val="000405DB"/>
    <w:rsid w:val="00043398"/>
    <w:rsid w:val="000450D0"/>
    <w:rsid w:val="000453F3"/>
    <w:rsid w:val="00046D00"/>
    <w:rsid w:val="00047522"/>
    <w:rsid w:val="00050A06"/>
    <w:rsid w:val="000511D3"/>
    <w:rsid w:val="000518A0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81947"/>
    <w:rsid w:val="000851F6"/>
    <w:rsid w:val="00086B12"/>
    <w:rsid w:val="0008725A"/>
    <w:rsid w:val="000934AE"/>
    <w:rsid w:val="000941BC"/>
    <w:rsid w:val="00097E65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5402"/>
    <w:rsid w:val="000C67B6"/>
    <w:rsid w:val="000D001D"/>
    <w:rsid w:val="000D45BC"/>
    <w:rsid w:val="000D7D6B"/>
    <w:rsid w:val="000E2DEF"/>
    <w:rsid w:val="000E4B5F"/>
    <w:rsid w:val="000E598C"/>
    <w:rsid w:val="000E59ED"/>
    <w:rsid w:val="000E5B66"/>
    <w:rsid w:val="000E6445"/>
    <w:rsid w:val="000F1C1F"/>
    <w:rsid w:val="000F2FA2"/>
    <w:rsid w:val="000F3660"/>
    <w:rsid w:val="000F45A2"/>
    <w:rsid w:val="0010087F"/>
    <w:rsid w:val="001008CF"/>
    <w:rsid w:val="00100E00"/>
    <w:rsid w:val="001018B2"/>
    <w:rsid w:val="00104194"/>
    <w:rsid w:val="00104A33"/>
    <w:rsid w:val="00105124"/>
    <w:rsid w:val="0010751F"/>
    <w:rsid w:val="001106F6"/>
    <w:rsid w:val="0011174B"/>
    <w:rsid w:val="00111B00"/>
    <w:rsid w:val="0011598A"/>
    <w:rsid w:val="00116A4E"/>
    <w:rsid w:val="00116B8A"/>
    <w:rsid w:val="0012027A"/>
    <w:rsid w:val="0012078D"/>
    <w:rsid w:val="001215FA"/>
    <w:rsid w:val="00122FDE"/>
    <w:rsid w:val="001250ED"/>
    <w:rsid w:val="001251D3"/>
    <w:rsid w:val="0012614C"/>
    <w:rsid w:val="0012681B"/>
    <w:rsid w:val="0013124A"/>
    <w:rsid w:val="00133524"/>
    <w:rsid w:val="00134BCE"/>
    <w:rsid w:val="001353D0"/>
    <w:rsid w:val="001360D4"/>
    <w:rsid w:val="00137D82"/>
    <w:rsid w:val="001400E7"/>
    <w:rsid w:val="00140912"/>
    <w:rsid w:val="00140C17"/>
    <w:rsid w:val="001453A0"/>
    <w:rsid w:val="001473BB"/>
    <w:rsid w:val="00151BA2"/>
    <w:rsid w:val="0015225E"/>
    <w:rsid w:val="00152517"/>
    <w:rsid w:val="00154E59"/>
    <w:rsid w:val="00155E3A"/>
    <w:rsid w:val="001560B1"/>
    <w:rsid w:val="0015695D"/>
    <w:rsid w:val="00156FE7"/>
    <w:rsid w:val="0016336D"/>
    <w:rsid w:val="00172C7D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61F8"/>
    <w:rsid w:val="001B0CAF"/>
    <w:rsid w:val="001B5F81"/>
    <w:rsid w:val="001B663C"/>
    <w:rsid w:val="001B721A"/>
    <w:rsid w:val="001C5B75"/>
    <w:rsid w:val="001C74E5"/>
    <w:rsid w:val="001D1D3D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4A84"/>
    <w:rsid w:val="001F5500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66E0"/>
    <w:rsid w:val="002467ED"/>
    <w:rsid w:val="002470B4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1E0"/>
    <w:rsid w:val="00265EDA"/>
    <w:rsid w:val="00271BE7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90268"/>
    <w:rsid w:val="0029050C"/>
    <w:rsid w:val="002906BD"/>
    <w:rsid w:val="00297514"/>
    <w:rsid w:val="002A0B88"/>
    <w:rsid w:val="002A0D3F"/>
    <w:rsid w:val="002A51C6"/>
    <w:rsid w:val="002B1487"/>
    <w:rsid w:val="002B16A1"/>
    <w:rsid w:val="002B253A"/>
    <w:rsid w:val="002B2B89"/>
    <w:rsid w:val="002B401F"/>
    <w:rsid w:val="002B6B2D"/>
    <w:rsid w:val="002B77F6"/>
    <w:rsid w:val="002C3BE8"/>
    <w:rsid w:val="002C4E76"/>
    <w:rsid w:val="002C7161"/>
    <w:rsid w:val="002D0C39"/>
    <w:rsid w:val="002D2561"/>
    <w:rsid w:val="002D2BEF"/>
    <w:rsid w:val="002D4172"/>
    <w:rsid w:val="002E0E89"/>
    <w:rsid w:val="002E4B57"/>
    <w:rsid w:val="002F1F3C"/>
    <w:rsid w:val="002F2076"/>
    <w:rsid w:val="002F26A8"/>
    <w:rsid w:val="002F4E09"/>
    <w:rsid w:val="00300B42"/>
    <w:rsid w:val="0030122B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1F40"/>
    <w:rsid w:val="0032256D"/>
    <w:rsid w:val="00324041"/>
    <w:rsid w:val="003256D6"/>
    <w:rsid w:val="00332DD9"/>
    <w:rsid w:val="00340150"/>
    <w:rsid w:val="00340FCB"/>
    <w:rsid w:val="0034420A"/>
    <w:rsid w:val="003442ED"/>
    <w:rsid w:val="0034461A"/>
    <w:rsid w:val="003446FF"/>
    <w:rsid w:val="003466DF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5CA"/>
    <w:rsid w:val="00361793"/>
    <w:rsid w:val="00365782"/>
    <w:rsid w:val="00367984"/>
    <w:rsid w:val="003730FF"/>
    <w:rsid w:val="00377339"/>
    <w:rsid w:val="0038380A"/>
    <w:rsid w:val="0038442D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C2D52"/>
    <w:rsid w:val="003C2DDE"/>
    <w:rsid w:val="003C6DDA"/>
    <w:rsid w:val="003D0151"/>
    <w:rsid w:val="003E0BBA"/>
    <w:rsid w:val="003E0D06"/>
    <w:rsid w:val="003E2D16"/>
    <w:rsid w:val="003F0C4E"/>
    <w:rsid w:val="003F1225"/>
    <w:rsid w:val="003F1CCD"/>
    <w:rsid w:val="003F2708"/>
    <w:rsid w:val="003F51B8"/>
    <w:rsid w:val="003F79EB"/>
    <w:rsid w:val="004006F3"/>
    <w:rsid w:val="004039A3"/>
    <w:rsid w:val="004049CE"/>
    <w:rsid w:val="00404BDA"/>
    <w:rsid w:val="004063A2"/>
    <w:rsid w:val="00410227"/>
    <w:rsid w:val="00412502"/>
    <w:rsid w:val="00412601"/>
    <w:rsid w:val="00413889"/>
    <w:rsid w:val="00422914"/>
    <w:rsid w:val="00422E82"/>
    <w:rsid w:val="00424B48"/>
    <w:rsid w:val="00425696"/>
    <w:rsid w:val="00427BF8"/>
    <w:rsid w:val="00430A55"/>
    <w:rsid w:val="004314A7"/>
    <w:rsid w:val="0043302B"/>
    <w:rsid w:val="00433DCF"/>
    <w:rsid w:val="00436F91"/>
    <w:rsid w:val="00437D06"/>
    <w:rsid w:val="004439D5"/>
    <w:rsid w:val="00446295"/>
    <w:rsid w:val="004478B5"/>
    <w:rsid w:val="00447A3A"/>
    <w:rsid w:val="0045075F"/>
    <w:rsid w:val="004510D2"/>
    <w:rsid w:val="00451FA5"/>
    <w:rsid w:val="004558DD"/>
    <w:rsid w:val="00455C7F"/>
    <w:rsid w:val="0045752C"/>
    <w:rsid w:val="00460058"/>
    <w:rsid w:val="00460A8C"/>
    <w:rsid w:val="00460A91"/>
    <w:rsid w:val="00461773"/>
    <w:rsid w:val="00461DD8"/>
    <w:rsid w:val="00465BD8"/>
    <w:rsid w:val="00466907"/>
    <w:rsid w:val="0047243E"/>
    <w:rsid w:val="0047371E"/>
    <w:rsid w:val="00477671"/>
    <w:rsid w:val="00480980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035E"/>
    <w:rsid w:val="004A0E78"/>
    <w:rsid w:val="004A207C"/>
    <w:rsid w:val="004A430A"/>
    <w:rsid w:val="004A5FFB"/>
    <w:rsid w:val="004B395F"/>
    <w:rsid w:val="004B405A"/>
    <w:rsid w:val="004C0A72"/>
    <w:rsid w:val="004C1ED6"/>
    <w:rsid w:val="004C1FE7"/>
    <w:rsid w:val="004C4C39"/>
    <w:rsid w:val="004C62F1"/>
    <w:rsid w:val="004C7E78"/>
    <w:rsid w:val="004D0527"/>
    <w:rsid w:val="004D09A4"/>
    <w:rsid w:val="004D58DE"/>
    <w:rsid w:val="004D6190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645"/>
    <w:rsid w:val="005508E0"/>
    <w:rsid w:val="00550C37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227D"/>
    <w:rsid w:val="00574BF2"/>
    <w:rsid w:val="00580C94"/>
    <w:rsid w:val="00581643"/>
    <w:rsid w:val="00582687"/>
    <w:rsid w:val="0058373D"/>
    <w:rsid w:val="005857F6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2A4A"/>
    <w:rsid w:val="005B5408"/>
    <w:rsid w:val="005B5DAA"/>
    <w:rsid w:val="005B784F"/>
    <w:rsid w:val="005C1406"/>
    <w:rsid w:val="005C15C4"/>
    <w:rsid w:val="005C2701"/>
    <w:rsid w:val="005C3873"/>
    <w:rsid w:val="005C5FBD"/>
    <w:rsid w:val="005D0178"/>
    <w:rsid w:val="005D01A2"/>
    <w:rsid w:val="005D0763"/>
    <w:rsid w:val="005D1CB3"/>
    <w:rsid w:val="005D5000"/>
    <w:rsid w:val="005D59D0"/>
    <w:rsid w:val="005D6D6A"/>
    <w:rsid w:val="005E44B0"/>
    <w:rsid w:val="005E571C"/>
    <w:rsid w:val="005F21E4"/>
    <w:rsid w:val="005F377B"/>
    <w:rsid w:val="005F4063"/>
    <w:rsid w:val="005F468D"/>
    <w:rsid w:val="005F7A73"/>
    <w:rsid w:val="00606D3D"/>
    <w:rsid w:val="00615596"/>
    <w:rsid w:val="00616FDD"/>
    <w:rsid w:val="006200CA"/>
    <w:rsid w:val="00624428"/>
    <w:rsid w:val="00624E2B"/>
    <w:rsid w:val="00625DC1"/>
    <w:rsid w:val="0062687E"/>
    <w:rsid w:val="00627B17"/>
    <w:rsid w:val="00632C61"/>
    <w:rsid w:val="006336FC"/>
    <w:rsid w:val="00634140"/>
    <w:rsid w:val="00635696"/>
    <w:rsid w:val="0063592F"/>
    <w:rsid w:val="006405DA"/>
    <w:rsid w:val="00642359"/>
    <w:rsid w:val="00642799"/>
    <w:rsid w:val="006438C9"/>
    <w:rsid w:val="0064469E"/>
    <w:rsid w:val="006451D3"/>
    <w:rsid w:val="00650DD6"/>
    <w:rsid w:val="00652A4C"/>
    <w:rsid w:val="00652BB4"/>
    <w:rsid w:val="0065515A"/>
    <w:rsid w:val="00655BE6"/>
    <w:rsid w:val="006621F4"/>
    <w:rsid w:val="00671346"/>
    <w:rsid w:val="00671678"/>
    <w:rsid w:val="0067186E"/>
    <w:rsid w:val="00672692"/>
    <w:rsid w:val="00672FF0"/>
    <w:rsid w:val="00674FD5"/>
    <w:rsid w:val="00680C61"/>
    <w:rsid w:val="00683615"/>
    <w:rsid w:val="006863F2"/>
    <w:rsid w:val="00686589"/>
    <w:rsid w:val="00687BBC"/>
    <w:rsid w:val="00696DEA"/>
    <w:rsid w:val="00697A48"/>
    <w:rsid w:val="006A1DE4"/>
    <w:rsid w:val="006A2BB1"/>
    <w:rsid w:val="006A3FFF"/>
    <w:rsid w:val="006A4658"/>
    <w:rsid w:val="006B3E53"/>
    <w:rsid w:val="006B46AF"/>
    <w:rsid w:val="006B7C4C"/>
    <w:rsid w:val="006B7D22"/>
    <w:rsid w:val="006C0D00"/>
    <w:rsid w:val="006C0E70"/>
    <w:rsid w:val="006C1D3A"/>
    <w:rsid w:val="006C2392"/>
    <w:rsid w:val="006C3B8E"/>
    <w:rsid w:val="006C4F04"/>
    <w:rsid w:val="006D21F6"/>
    <w:rsid w:val="006D37BD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4B9"/>
    <w:rsid w:val="00704A85"/>
    <w:rsid w:val="0070666E"/>
    <w:rsid w:val="00706BD0"/>
    <w:rsid w:val="0070724F"/>
    <w:rsid w:val="00711D08"/>
    <w:rsid w:val="007121B6"/>
    <w:rsid w:val="00712AE4"/>
    <w:rsid w:val="00713F7F"/>
    <w:rsid w:val="00714170"/>
    <w:rsid w:val="00715477"/>
    <w:rsid w:val="007176A9"/>
    <w:rsid w:val="00725BED"/>
    <w:rsid w:val="00730B3A"/>
    <w:rsid w:val="007326A4"/>
    <w:rsid w:val="00735612"/>
    <w:rsid w:val="00737E59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674D"/>
    <w:rsid w:val="00762334"/>
    <w:rsid w:val="007662FA"/>
    <w:rsid w:val="00766D93"/>
    <w:rsid w:val="00771387"/>
    <w:rsid w:val="00772633"/>
    <w:rsid w:val="00781200"/>
    <w:rsid w:val="007819BE"/>
    <w:rsid w:val="00782321"/>
    <w:rsid w:val="00782E1A"/>
    <w:rsid w:val="007866D3"/>
    <w:rsid w:val="00786903"/>
    <w:rsid w:val="00790FCF"/>
    <w:rsid w:val="007952CD"/>
    <w:rsid w:val="00796011"/>
    <w:rsid w:val="007966B6"/>
    <w:rsid w:val="007A1B6C"/>
    <w:rsid w:val="007A22FA"/>
    <w:rsid w:val="007A7349"/>
    <w:rsid w:val="007A74BD"/>
    <w:rsid w:val="007B1496"/>
    <w:rsid w:val="007B2509"/>
    <w:rsid w:val="007B3DE7"/>
    <w:rsid w:val="007B4525"/>
    <w:rsid w:val="007B54D8"/>
    <w:rsid w:val="007B74D6"/>
    <w:rsid w:val="007C34A7"/>
    <w:rsid w:val="007C5D13"/>
    <w:rsid w:val="007C5D89"/>
    <w:rsid w:val="007D0353"/>
    <w:rsid w:val="007D760F"/>
    <w:rsid w:val="007D79C0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8D0"/>
    <w:rsid w:val="00821E60"/>
    <w:rsid w:val="00823716"/>
    <w:rsid w:val="00827D8E"/>
    <w:rsid w:val="0083055B"/>
    <w:rsid w:val="008368EF"/>
    <w:rsid w:val="00836A53"/>
    <w:rsid w:val="00837446"/>
    <w:rsid w:val="008404C7"/>
    <w:rsid w:val="00840D3D"/>
    <w:rsid w:val="00845C25"/>
    <w:rsid w:val="008479D8"/>
    <w:rsid w:val="008502D7"/>
    <w:rsid w:val="00851C8B"/>
    <w:rsid w:val="00854FE2"/>
    <w:rsid w:val="0085694C"/>
    <w:rsid w:val="00856A9A"/>
    <w:rsid w:val="00857B58"/>
    <w:rsid w:val="00861451"/>
    <w:rsid w:val="00864FC5"/>
    <w:rsid w:val="008652C9"/>
    <w:rsid w:val="008665E0"/>
    <w:rsid w:val="0086677E"/>
    <w:rsid w:val="00870AE7"/>
    <w:rsid w:val="0087144B"/>
    <w:rsid w:val="00872EAB"/>
    <w:rsid w:val="00874E30"/>
    <w:rsid w:val="00874FE4"/>
    <w:rsid w:val="00880647"/>
    <w:rsid w:val="0088140C"/>
    <w:rsid w:val="0088283A"/>
    <w:rsid w:val="00884215"/>
    <w:rsid w:val="00885A1E"/>
    <w:rsid w:val="00885ECA"/>
    <w:rsid w:val="008A4D7B"/>
    <w:rsid w:val="008A7B4D"/>
    <w:rsid w:val="008A7CCC"/>
    <w:rsid w:val="008B0763"/>
    <w:rsid w:val="008B0907"/>
    <w:rsid w:val="008B28CD"/>
    <w:rsid w:val="008B3210"/>
    <w:rsid w:val="008C24E8"/>
    <w:rsid w:val="008C3099"/>
    <w:rsid w:val="008C3E16"/>
    <w:rsid w:val="008C42AD"/>
    <w:rsid w:val="008C5C18"/>
    <w:rsid w:val="008C5E07"/>
    <w:rsid w:val="008C6196"/>
    <w:rsid w:val="008C6BCE"/>
    <w:rsid w:val="008C6DD6"/>
    <w:rsid w:val="008D339C"/>
    <w:rsid w:val="008D52E5"/>
    <w:rsid w:val="008D61CA"/>
    <w:rsid w:val="008E27A7"/>
    <w:rsid w:val="008E4561"/>
    <w:rsid w:val="008E46E2"/>
    <w:rsid w:val="008F034A"/>
    <w:rsid w:val="008F101E"/>
    <w:rsid w:val="008F36A7"/>
    <w:rsid w:val="008F3A48"/>
    <w:rsid w:val="008F3EE3"/>
    <w:rsid w:val="008F4539"/>
    <w:rsid w:val="00901A5C"/>
    <w:rsid w:val="00903489"/>
    <w:rsid w:val="00906436"/>
    <w:rsid w:val="00906667"/>
    <w:rsid w:val="00907A08"/>
    <w:rsid w:val="0091026D"/>
    <w:rsid w:val="00911484"/>
    <w:rsid w:val="00914912"/>
    <w:rsid w:val="009159FF"/>
    <w:rsid w:val="00915C5D"/>
    <w:rsid w:val="00916BC2"/>
    <w:rsid w:val="00924BA5"/>
    <w:rsid w:val="00924BD6"/>
    <w:rsid w:val="00925A01"/>
    <w:rsid w:val="00927CC0"/>
    <w:rsid w:val="009320D8"/>
    <w:rsid w:val="009328CF"/>
    <w:rsid w:val="009334E4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1B07"/>
    <w:rsid w:val="00981C9B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749E"/>
    <w:rsid w:val="009C0D3E"/>
    <w:rsid w:val="009C2CE0"/>
    <w:rsid w:val="009C610C"/>
    <w:rsid w:val="009D080B"/>
    <w:rsid w:val="009D1C82"/>
    <w:rsid w:val="009D4B40"/>
    <w:rsid w:val="009E52A8"/>
    <w:rsid w:val="009E593B"/>
    <w:rsid w:val="009E68C5"/>
    <w:rsid w:val="009F05CD"/>
    <w:rsid w:val="009F19D9"/>
    <w:rsid w:val="009F4988"/>
    <w:rsid w:val="009F4C97"/>
    <w:rsid w:val="009F507D"/>
    <w:rsid w:val="009F672A"/>
    <w:rsid w:val="00A01694"/>
    <w:rsid w:val="00A02591"/>
    <w:rsid w:val="00A05420"/>
    <w:rsid w:val="00A05F2D"/>
    <w:rsid w:val="00A066D7"/>
    <w:rsid w:val="00A11341"/>
    <w:rsid w:val="00A11453"/>
    <w:rsid w:val="00A131E7"/>
    <w:rsid w:val="00A13AD4"/>
    <w:rsid w:val="00A1476D"/>
    <w:rsid w:val="00A16738"/>
    <w:rsid w:val="00A21646"/>
    <w:rsid w:val="00A23090"/>
    <w:rsid w:val="00A234BA"/>
    <w:rsid w:val="00A25859"/>
    <w:rsid w:val="00A3159B"/>
    <w:rsid w:val="00A324EE"/>
    <w:rsid w:val="00A33933"/>
    <w:rsid w:val="00A35077"/>
    <w:rsid w:val="00A374D2"/>
    <w:rsid w:val="00A40BC1"/>
    <w:rsid w:val="00A40C7B"/>
    <w:rsid w:val="00A421B2"/>
    <w:rsid w:val="00A42635"/>
    <w:rsid w:val="00A4398A"/>
    <w:rsid w:val="00A47ADD"/>
    <w:rsid w:val="00A50277"/>
    <w:rsid w:val="00A50C9F"/>
    <w:rsid w:val="00A52846"/>
    <w:rsid w:val="00A54065"/>
    <w:rsid w:val="00A546E2"/>
    <w:rsid w:val="00A5678E"/>
    <w:rsid w:val="00A56889"/>
    <w:rsid w:val="00A605EF"/>
    <w:rsid w:val="00A60D34"/>
    <w:rsid w:val="00A60E44"/>
    <w:rsid w:val="00A612C7"/>
    <w:rsid w:val="00A63C63"/>
    <w:rsid w:val="00A65410"/>
    <w:rsid w:val="00A654EC"/>
    <w:rsid w:val="00A66CB4"/>
    <w:rsid w:val="00A72693"/>
    <w:rsid w:val="00A76AF7"/>
    <w:rsid w:val="00A814FE"/>
    <w:rsid w:val="00A82080"/>
    <w:rsid w:val="00A82FE4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48F5"/>
    <w:rsid w:val="00AA58FE"/>
    <w:rsid w:val="00AB5DBD"/>
    <w:rsid w:val="00AB79A8"/>
    <w:rsid w:val="00AC26EE"/>
    <w:rsid w:val="00AC3BC8"/>
    <w:rsid w:val="00AC562D"/>
    <w:rsid w:val="00AC7660"/>
    <w:rsid w:val="00AD06D8"/>
    <w:rsid w:val="00AD63E0"/>
    <w:rsid w:val="00AE21FB"/>
    <w:rsid w:val="00AE4EA6"/>
    <w:rsid w:val="00AE7961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5B4C"/>
    <w:rsid w:val="00B16364"/>
    <w:rsid w:val="00B16C81"/>
    <w:rsid w:val="00B17C10"/>
    <w:rsid w:val="00B17D36"/>
    <w:rsid w:val="00B21001"/>
    <w:rsid w:val="00B211EC"/>
    <w:rsid w:val="00B23D1B"/>
    <w:rsid w:val="00B25197"/>
    <w:rsid w:val="00B25227"/>
    <w:rsid w:val="00B25291"/>
    <w:rsid w:val="00B263D2"/>
    <w:rsid w:val="00B278E3"/>
    <w:rsid w:val="00B30E09"/>
    <w:rsid w:val="00B3242B"/>
    <w:rsid w:val="00B3380C"/>
    <w:rsid w:val="00B36D17"/>
    <w:rsid w:val="00B36F8C"/>
    <w:rsid w:val="00B412D6"/>
    <w:rsid w:val="00B4417F"/>
    <w:rsid w:val="00B453AF"/>
    <w:rsid w:val="00B46525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689B"/>
    <w:rsid w:val="00B66ABC"/>
    <w:rsid w:val="00B6714B"/>
    <w:rsid w:val="00B67310"/>
    <w:rsid w:val="00B7231B"/>
    <w:rsid w:val="00B725ED"/>
    <w:rsid w:val="00B7344C"/>
    <w:rsid w:val="00B73759"/>
    <w:rsid w:val="00B749EA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6124"/>
    <w:rsid w:val="00BA2B7C"/>
    <w:rsid w:val="00BA7100"/>
    <w:rsid w:val="00BA7893"/>
    <w:rsid w:val="00BB0265"/>
    <w:rsid w:val="00BB5417"/>
    <w:rsid w:val="00BB7658"/>
    <w:rsid w:val="00BB7F8A"/>
    <w:rsid w:val="00BC0487"/>
    <w:rsid w:val="00BC28EA"/>
    <w:rsid w:val="00BC2FCE"/>
    <w:rsid w:val="00BC3C61"/>
    <w:rsid w:val="00BC41D2"/>
    <w:rsid w:val="00BC4654"/>
    <w:rsid w:val="00BC5B8C"/>
    <w:rsid w:val="00BC5D10"/>
    <w:rsid w:val="00BC6022"/>
    <w:rsid w:val="00BD1804"/>
    <w:rsid w:val="00BD18B8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BF7798"/>
    <w:rsid w:val="00C036CA"/>
    <w:rsid w:val="00C03FCD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543FC"/>
    <w:rsid w:val="00C54635"/>
    <w:rsid w:val="00C63132"/>
    <w:rsid w:val="00C6449B"/>
    <w:rsid w:val="00C64845"/>
    <w:rsid w:val="00C660CE"/>
    <w:rsid w:val="00C66815"/>
    <w:rsid w:val="00C67219"/>
    <w:rsid w:val="00C67E57"/>
    <w:rsid w:val="00C717EF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21D"/>
    <w:rsid w:val="00CA0E48"/>
    <w:rsid w:val="00CA14DD"/>
    <w:rsid w:val="00CA1682"/>
    <w:rsid w:val="00CA30D9"/>
    <w:rsid w:val="00CA3BAA"/>
    <w:rsid w:val="00CA4F28"/>
    <w:rsid w:val="00CB075A"/>
    <w:rsid w:val="00CB07CC"/>
    <w:rsid w:val="00CB1749"/>
    <w:rsid w:val="00CB59B3"/>
    <w:rsid w:val="00CB6D3B"/>
    <w:rsid w:val="00CC4FFF"/>
    <w:rsid w:val="00CC69D8"/>
    <w:rsid w:val="00CC6FEE"/>
    <w:rsid w:val="00CE1812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6C15"/>
    <w:rsid w:val="00D14BD1"/>
    <w:rsid w:val="00D15799"/>
    <w:rsid w:val="00D1691E"/>
    <w:rsid w:val="00D16B10"/>
    <w:rsid w:val="00D170F3"/>
    <w:rsid w:val="00D174C7"/>
    <w:rsid w:val="00D238FE"/>
    <w:rsid w:val="00D32605"/>
    <w:rsid w:val="00D35CD1"/>
    <w:rsid w:val="00D41E5F"/>
    <w:rsid w:val="00D42B8F"/>
    <w:rsid w:val="00D436EE"/>
    <w:rsid w:val="00D4514D"/>
    <w:rsid w:val="00D45750"/>
    <w:rsid w:val="00D55963"/>
    <w:rsid w:val="00D55D5E"/>
    <w:rsid w:val="00D6060C"/>
    <w:rsid w:val="00D60B3B"/>
    <w:rsid w:val="00D63034"/>
    <w:rsid w:val="00D63771"/>
    <w:rsid w:val="00D67B64"/>
    <w:rsid w:val="00D751D2"/>
    <w:rsid w:val="00D7613E"/>
    <w:rsid w:val="00D763DB"/>
    <w:rsid w:val="00D7680C"/>
    <w:rsid w:val="00D77BF8"/>
    <w:rsid w:val="00D813F4"/>
    <w:rsid w:val="00D81A34"/>
    <w:rsid w:val="00D82D11"/>
    <w:rsid w:val="00D8380E"/>
    <w:rsid w:val="00D86B58"/>
    <w:rsid w:val="00D90CFF"/>
    <w:rsid w:val="00D938B0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4FE"/>
    <w:rsid w:val="00DB720E"/>
    <w:rsid w:val="00DC129E"/>
    <w:rsid w:val="00DC1403"/>
    <w:rsid w:val="00DC3B50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1F8C"/>
    <w:rsid w:val="00DE40A7"/>
    <w:rsid w:val="00DE42E8"/>
    <w:rsid w:val="00DE6811"/>
    <w:rsid w:val="00DE74FA"/>
    <w:rsid w:val="00DF0FD2"/>
    <w:rsid w:val="00DF3550"/>
    <w:rsid w:val="00DF52C9"/>
    <w:rsid w:val="00DF66C1"/>
    <w:rsid w:val="00E00D66"/>
    <w:rsid w:val="00E03C99"/>
    <w:rsid w:val="00E03EA0"/>
    <w:rsid w:val="00E10130"/>
    <w:rsid w:val="00E10EF9"/>
    <w:rsid w:val="00E11B2A"/>
    <w:rsid w:val="00E130EC"/>
    <w:rsid w:val="00E16E55"/>
    <w:rsid w:val="00E174D3"/>
    <w:rsid w:val="00E2097D"/>
    <w:rsid w:val="00E21091"/>
    <w:rsid w:val="00E23205"/>
    <w:rsid w:val="00E23FB6"/>
    <w:rsid w:val="00E2534D"/>
    <w:rsid w:val="00E25BBE"/>
    <w:rsid w:val="00E26837"/>
    <w:rsid w:val="00E27A2D"/>
    <w:rsid w:val="00E30647"/>
    <w:rsid w:val="00E341AB"/>
    <w:rsid w:val="00E341CC"/>
    <w:rsid w:val="00E45E55"/>
    <w:rsid w:val="00E46359"/>
    <w:rsid w:val="00E46F27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64D3"/>
    <w:rsid w:val="00EB23A6"/>
    <w:rsid w:val="00EB3653"/>
    <w:rsid w:val="00EB4CAA"/>
    <w:rsid w:val="00EB752C"/>
    <w:rsid w:val="00EC1F5D"/>
    <w:rsid w:val="00EC4246"/>
    <w:rsid w:val="00EC44FB"/>
    <w:rsid w:val="00EC5D32"/>
    <w:rsid w:val="00EC6788"/>
    <w:rsid w:val="00EC685B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5C53"/>
    <w:rsid w:val="00F22B41"/>
    <w:rsid w:val="00F235C6"/>
    <w:rsid w:val="00F24CE4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514A1"/>
    <w:rsid w:val="00F51C38"/>
    <w:rsid w:val="00F52317"/>
    <w:rsid w:val="00F52491"/>
    <w:rsid w:val="00F52C30"/>
    <w:rsid w:val="00F551F2"/>
    <w:rsid w:val="00F61E5B"/>
    <w:rsid w:val="00F628E1"/>
    <w:rsid w:val="00F6507F"/>
    <w:rsid w:val="00F6734F"/>
    <w:rsid w:val="00F676B9"/>
    <w:rsid w:val="00F67FEC"/>
    <w:rsid w:val="00F716A9"/>
    <w:rsid w:val="00F73D91"/>
    <w:rsid w:val="00F73ED5"/>
    <w:rsid w:val="00F76CE7"/>
    <w:rsid w:val="00F76EA3"/>
    <w:rsid w:val="00F77E11"/>
    <w:rsid w:val="00F80787"/>
    <w:rsid w:val="00F822FB"/>
    <w:rsid w:val="00F823DC"/>
    <w:rsid w:val="00F870DA"/>
    <w:rsid w:val="00F87D3F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3DE6"/>
    <w:rsid w:val="00FC4722"/>
    <w:rsid w:val="00FC5307"/>
    <w:rsid w:val="00FC5E3A"/>
    <w:rsid w:val="00FC7111"/>
    <w:rsid w:val="00FD017F"/>
    <w:rsid w:val="00FD01C8"/>
    <w:rsid w:val="00FD6F95"/>
    <w:rsid w:val="00FD7967"/>
    <w:rsid w:val="00FD7F47"/>
    <w:rsid w:val="00FD7F4C"/>
    <w:rsid w:val="00FE4566"/>
    <w:rsid w:val="00FF0718"/>
    <w:rsid w:val="00FF084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A9AD-9572-41BF-8BF8-7720DBB5B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21</Pages>
  <Words>9785</Words>
  <Characters>57738</Characters>
  <Application>Microsoft Office Word</Application>
  <DocSecurity>0</DocSecurity>
  <Lines>481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28</cp:revision>
  <cp:lastPrinted>2018-11-13T08:18:00Z</cp:lastPrinted>
  <dcterms:created xsi:type="dcterms:W3CDTF">2019-01-08T13:27:00Z</dcterms:created>
  <dcterms:modified xsi:type="dcterms:W3CDTF">2019-01-16T07:29:00Z</dcterms:modified>
</cp:coreProperties>
</file>